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B" w:rsidRDefault="00B61A13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1 - Définition</w:t>
      </w:r>
    </w:p>
    <w:p w:rsidR="009A31EB" w:rsidRDefault="00B61A13">
      <w:pPr>
        <w:tabs>
          <w:tab w:val="left" w:pos="9498"/>
          <w:tab w:val="left" w:pos="9816"/>
        </w:tabs>
        <w:spacing w:before="80" w:line="240" w:lineRule="auto"/>
        <w:ind w:right="-28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 commission d’aptitude est une instanc</w:t>
      </w:r>
      <w:bookmarkStart w:id="0" w:name="_GoBack"/>
      <w:bookmarkEnd w:id="0"/>
      <w:r>
        <w:rPr>
          <w:rFonts w:ascii="Century Gothic" w:eastAsia="Century Gothic" w:hAnsi="Century Gothic" w:cs="Century Gothic"/>
          <w:sz w:val="18"/>
          <w:szCs w:val="18"/>
        </w:rPr>
        <w:t>e consultative chargée de donner des avis sur les questions médicales concernant 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les fonctionnaires de la Nouvelle-Calédonie ou des communes </w:t>
      </w:r>
      <w:r>
        <w:rPr>
          <w:rFonts w:ascii="Century Gothic" w:eastAsia="Century Gothic" w:hAnsi="Century Gothic" w:cs="Century Gothic"/>
          <w:sz w:val="18"/>
          <w:szCs w:val="18"/>
        </w:rPr>
        <w:t>en activité ou en détachement.</w:t>
      </w:r>
    </w:p>
    <w:p w:rsidR="009A31EB" w:rsidRDefault="009A31EB">
      <w:pPr>
        <w:widowControl w:val="0"/>
        <w:spacing w:line="120" w:lineRule="auto"/>
        <w:jc w:val="both"/>
        <w:rPr>
          <w:rFonts w:ascii="Century Gothic" w:eastAsia="Century Gothic" w:hAnsi="Century Gothic" w:cs="Century Gothic"/>
          <w:sz w:val="8"/>
          <w:szCs w:val="8"/>
        </w:rPr>
      </w:pPr>
    </w:p>
    <w:p w:rsidR="009A31EB" w:rsidRDefault="009A31EB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p w:rsidR="009A31EB" w:rsidRDefault="00B61A13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 xml:space="preserve">2 - Motifs de saisine </w:t>
      </w:r>
      <w:r>
        <w:rPr>
          <w:rFonts w:ascii="Merriweather" w:eastAsia="Merriweather" w:hAnsi="Merriweather" w:cs="Merriweather"/>
          <w:color w:val="4F81BD"/>
          <w:sz w:val="20"/>
          <w:szCs w:val="20"/>
        </w:rPr>
        <w:t>(à remplir par l’employeur)</w:t>
      </w:r>
    </w:p>
    <w:p w:rsidR="009A31EB" w:rsidRDefault="009A31EB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"/>
        <w:tblW w:w="177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7"/>
        <w:gridCol w:w="16518"/>
      </w:tblGrid>
      <w:tr w:rsidR="009A31EB">
        <w:tc>
          <w:tcPr>
            <w:tcW w:w="765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050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A- Aptitude à servir*</w:t>
            </w:r>
          </w:p>
        </w:tc>
      </w:tr>
      <w:tr w:rsidR="009A31EB">
        <w:tc>
          <w:tcPr>
            <w:tcW w:w="765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050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B- Aptitude à exercer les fonctions</w:t>
            </w:r>
          </w:p>
        </w:tc>
      </w:tr>
      <w:tr w:rsidR="009A31EB">
        <w:tc>
          <w:tcPr>
            <w:tcW w:w="765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050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C- Imputabilité de l’accident ou de la maladie au service</w:t>
            </w:r>
          </w:p>
        </w:tc>
      </w:tr>
      <w:tr w:rsidR="009A31EB">
        <w:tc>
          <w:tcPr>
            <w:tcW w:w="765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050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D- Octroi, renouvellement ou cessation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d’un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mi-temps thérapeutique</w:t>
            </w:r>
          </w:p>
        </w:tc>
      </w:tr>
      <w:tr w:rsidR="009A31EB">
        <w:tc>
          <w:tcPr>
            <w:tcW w:w="765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050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E- Octroi ou révision d’un taux d’invalidité</w:t>
            </w:r>
          </w:p>
        </w:tc>
      </w:tr>
      <w:tr w:rsidR="009A31EB">
        <w:tc>
          <w:tcPr>
            <w:tcW w:w="765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050" w:type="dxa"/>
            <w:tcBorders>
              <w:top w:val="dotted" w:sz="8" w:space="0" w:color="F3F3F3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F- Réalité des infirmités résultant d’un accident de service, de trajet ou d’une maladie professionnelle</w:t>
            </w:r>
          </w:p>
        </w:tc>
      </w:tr>
    </w:tbl>
    <w:p w:rsidR="009A31EB" w:rsidRDefault="009A31EB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4"/>
          <w:szCs w:val="4"/>
          <w:highlight w:val="white"/>
        </w:rPr>
      </w:pPr>
    </w:p>
    <w:p w:rsidR="009A31EB" w:rsidRDefault="00B61A13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 xml:space="preserve">3 - Informations relatives à l’agent </w:t>
      </w:r>
      <w:r>
        <w:rPr>
          <w:rFonts w:ascii="Merriweather" w:eastAsia="Merriweather" w:hAnsi="Merriweather" w:cs="Merriweather"/>
          <w:color w:val="4F81BD"/>
          <w:sz w:val="20"/>
          <w:szCs w:val="20"/>
        </w:rPr>
        <w:t>(à remplir par l’employeur)</w:t>
      </w:r>
    </w:p>
    <w:p w:rsidR="009A31EB" w:rsidRDefault="009A31EB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480"/>
        <w:gridCol w:w="2640"/>
        <w:gridCol w:w="450"/>
        <w:gridCol w:w="1425"/>
        <w:gridCol w:w="2325"/>
      </w:tblGrid>
      <w:tr w:rsidR="009A31EB">
        <w:tc>
          <w:tcPr>
            <w:tcW w:w="34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4995" w:type="dxa"/>
            <w:gridSpan w:val="4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A31EB">
        <w:tc>
          <w:tcPr>
            <w:tcW w:w="34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de naissance :</w:t>
            </w:r>
          </w:p>
        </w:tc>
        <w:tc>
          <w:tcPr>
            <w:tcW w:w="4995" w:type="dxa"/>
            <w:gridSpan w:val="4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A31EB">
        <w:tc>
          <w:tcPr>
            <w:tcW w:w="34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 physique et postale :</w:t>
            </w:r>
          </w:p>
        </w:tc>
        <w:tc>
          <w:tcPr>
            <w:tcW w:w="4995" w:type="dxa"/>
            <w:gridSpan w:val="4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A31EB">
        <w:tc>
          <w:tcPr>
            <w:tcW w:w="34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Contacts téléphoniques et mail :</w:t>
            </w:r>
          </w:p>
        </w:tc>
        <w:tc>
          <w:tcPr>
            <w:tcW w:w="4995" w:type="dxa"/>
            <w:gridSpan w:val="4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A31EB">
        <w:trPr>
          <w:trHeight w:val="200"/>
        </w:trPr>
        <w:tc>
          <w:tcPr>
            <w:tcW w:w="34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Titulaire dans la fonction publique :</w:t>
            </w:r>
          </w:p>
        </w:tc>
        <w:tc>
          <w:tcPr>
            <w:tcW w:w="48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 la Nouvelle-Calédonie</w:t>
            </w:r>
          </w:p>
        </w:tc>
        <w:tc>
          <w:tcPr>
            <w:tcW w:w="45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autre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(à préciser)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A31EB">
        <w:tc>
          <w:tcPr>
            <w:tcW w:w="34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d’appartenance :</w:t>
            </w:r>
          </w:p>
        </w:tc>
        <w:tc>
          <w:tcPr>
            <w:tcW w:w="4995" w:type="dxa"/>
            <w:gridSpan w:val="4"/>
            <w:tcBorders>
              <w:top w:val="dotted" w:sz="8" w:space="0" w:color="FFFFFF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A31EB">
        <w:tc>
          <w:tcPr>
            <w:tcW w:w="34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Poste occupé :</w:t>
            </w:r>
          </w:p>
        </w:tc>
        <w:tc>
          <w:tcPr>
            <w:tcW w:w="4995" w:type="dxa"/>
            <w:gridSpan w:val="4"/>
            <w:tcBorders>
              <w:top w:val="dotted" w:sz="8" w:space="0" w:color="FFFFFF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A31EB">
        <w:tc>
          <w:tcPr>
            <w:tcW w:w="34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Service / Direction :</w:t>
            </w:r>
          </w:p>
        </w:tc>
        <w:tc>
          <w:tcPr>
            <w:tcW w:w="4995" w:type="dxa"/>
            <w:gridSpan w:val="4"/>
            <w:tcBorders>
              <w:top w:val="dotted" w:sz="8" w:space="0" w:color="FFFFFF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A31EB">
        <w:tc>
          <w:tcPr>
            <w:tcW w:w="345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B61A1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Employeur d’affectation ou de détachement: </w:t>
            </w:r>
          </w:p>
        </w:tc>
        <w:tc>
          <w:tcPr>
            <w:tcW w:w="4995" w:type="dxa"/>
            <w:gridSpan w:val="4"/>
            <w:tcBorders>
              <w:top w:val="dotted" w:sz="8" w:space="0" w:color="FFFFFF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31EB" w:rsidRDefault="009A31E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A31EB" w:rsidRDefault="009A31EB">
      <w:pPr>
        <w:spacing w:line="240" w:lineRule="auto"/>
        <w:jc w:val="both"/>
        <w:rPr>
          <w:rFonts w:ascii="Century Gothic" w:eastAsia="Century Gothic" w:hAnsi="Century Gothic" w:cs="Century Gothic"/>
          <w:sz w:val="8"/>
          <w:szCs w:val="8"/>
          <w:highlight w:val="white"/>
        </w:rPr>
      </w:pPr>
    </w:p>
    <w:p w:rsidR="009A31EB" w:rsidRDefault="00B61A13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Pièces à fournir par l’employeur</w:t>
      </w:r>
    </w:p>
    <w:tbl>
      <w:tblPr>
        <w:tblStyle w:val="a1"/>
        <w:tblW w:w="1072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0215"/>
      </w:tblGrid>
      <w:tr w:rsidR="009A31EB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9A31EB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B61A1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Courrier détaillé de saisine de la commission d’aptitude (expliquant les motifs de la saisine)</w:t>
            </w:r>
          </w:p>
        </w:tc>
      </w:tr>
      <w:tr w:rsidR="009A31EB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9A31EB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B61A1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Déclaration d’accident de travail ou de maladie professionnelle remplie par l’agent</w:t>
            </w:r>
          </w:p>
        </w:tc>
      </w:tr>
      <w:tr w:rsidR="009A31EB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9A31EB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B61A1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Rapport(s) hiérarchique(s)</w:t>
            </w:r>
          </w:p>
        </w:tc>
      </w:tr>
      <w:tr w:rsidR="009A31EB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9A31EB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B61A1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Fiche de poste actuelle de l’agent (et l’ancienne si l’agent a changé de poste dans l’attente de l’avis de la commission)</w:t>
            </w:r>
          </w:p>
        </w:tc>
      </w:tr>
      <w:tr w:rsidR="009A31EB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9A31EB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B61A1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Certificats médicaux : initial, prolongation, rechute, reprise des fonctions</w:t>
            </w:r>
          </w:p>
        </w:tc>
      </w:tr>
      <w:tr w:rsidR="009A31EB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9A31EB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B61A1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Rapports médicaux</w:t>
            </w:r>
          </w:p>
        </w:tc>
      </w:tr>
      <w:tr w:rsidR="009A31EB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9A31EB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B61A1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Décision de reconnaissance d’imputabilité au service de l’accident en cas de reconnaissance directe par l’employeur </w:t>
            </w:r>
          </w:p>
        </w:tc>
      </w:tr>
    </w:tbl>
    <w:p w:rsidR="009A31EB" w:rsidRDefault="00B61A13">
      <w:pPr>
        <w:tabs>
          <w:tab w:val="right" w:pos="4500"/>
          <w:tab w:val="left" w:pos="4860"/>
          <w:tab w:val="left" w:pos="8931"/>
          <w:tab w:val="right" w:pos="9000"/>
          <w:tab w:val="left" w:pos="9356"/>
        </w:tabs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*/!\ 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</w:rPr>
        <w:t>CLM / CLD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 : L’appréciation de l’aptitude à servir d’un agent en CLM ou CLD ne peut être effectuée par la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commission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d’aptitude qu’à l’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</w:rPr>
        <w:t>échéance des droits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9A31EB" w:rsidRDefault="00B61A13">
      <w:pPr>
        <w:tabs>
          <w:tab w:val="right" w:pos="4500"/>
          <w:tab w:val="left" w:pos="4860"/>
          <w:tab w:val="left" w:pos="8931"/>
          <w:tab w:val="right" w:pos="9000"/>
          <w:tab w:val="left" w:pos="9356"/>
        </w:tabs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NB : Le dossier de saisine doit être complet afin de permettre aux membres de la commission d’aptitude d’émett</w:t>
      </w:r>
      <w:r>
        <w:rPr>
          <w:rFonts w:ascii="Century Gothic" w:eastAsia="Century Gothic" w:hAnsi="Century Gothic" w:cs="Century Gothic"/>
          <w:sz w:val="20"/>
          <w:szCs w:val="20"/>
        </w:rPr>
        <w:t>re un avis objectif.</w:t>
      </w:r>
    </w:p>
    <w:p w:rsidR="009A31EB" w:rsidRDefault="009A31EB">
      <w:pPr>
        <w:tabs>
          <w:tab w:val="right" w:pos="4500"/>
          <w:tab w:val="left" w:pos="4860"/>
          <w:tab w:val="left" w:pos="8931"/>
          <w:tab w:val="right" w:pos="9000"/>
          <w:tab w:val="left" w:pos="9356"/>
        </w:tabs>
        <w:spacing w:line="240" w:lineRule="auto"/>
        <w:jc w:val="both"/>
        <w:rPr>
          <w:rFonts w:ascii="Century Gothic" w:eastAsia="Century Gothic" w:hAnsi="Century Gothic" w:cs="Century Gothic"/>
          <w:sz w:val="10"/>
          <w:szCs w:val="10"/>
        </w:rPr>
      </w:pPr>
    </w:p>
    <w:p w:rsidR="009A31EB" w:rsidRDefault="00B61A13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6"/>
          <w:szCs w:val="6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4 - Date de réception à la DRHFPNC</w:t>
      </w:r>
    </w:p>
    <w:tbl>
      <w:tblPr>
        <w:tblStyle w:val="a2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2205"/>
        <w:gridCol w:w="4650"/>
      </w:tblGrid>
      <w:tr w:rsidR="009A31EB">
        <w:trPr>
          <w:trHeight w:val="215"/>
        </w:trPr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B61A13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de réception à la DRHFPNC :</w:t>
            </w:r>
          </w:p>
        </w:tc>
        <w:tc>
          <w:tcPr>
            <w:tcW w:w="2205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9A31EB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1EB" w:rsidRDefault="00B61A13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</w:t>
            </w:r>
          </w:p>
        </w:tc>
      </w:tr>
    </w:tbl>
    <w:p w:rsidR="009A31EB" w:rsidRDefault="009A31EB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u w:val="single"/>
        </w:rPr>
      </w:pPr>
    </w:p>
    <w:p w:rsidR="009A31EB" w:rsidRDefault="00B61A13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u w:val="single"/>
        </w:rPr>
        <w:t>Références statutaires</w:t>
      </w:r>
      <w:r>
        <w:rPr>
          <w:rFonts w:ascii="Century Gothic" w:eastAsia="Century Gothic" w:hAnsi="Century Gothic" w:cs="Century Gothic"/>
          <w:sz w:val="18"/>
          <w:szCs w:val="18"/>
        </w:rPr>
        <w:t> : articles 1</w:t>
      </w:r>
      <w:r>
        <w:rPr>
          <w:rFonts w:ascii="Century Gothic" w:eastAsia="Century Gothic" w:hAnsi="Century Gothic" w:cs="Century Gothic"/>
          <w:sz w:val="18"/>
          <w:szCs w:val="18"/>
          <w:vertAlign w:val="superscript"/>
        </w:rPr>
        <w:t>er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et suivants de la délibération n° 309 du 27 août 2002 </w:t>
      </w:r>
      <w:r>
        <w:rPr>
          <w:rFonts w:ascii="Century Gothic" w:eastAsia="Century Gothic" w:hAnsi="Century Gothic" w:cs="Century Gothic"/>
          <w:i/>
          <w:sz w:val="18"/>
          <w:szCs w:val="18"/>
        </w:rPr>
        <w:t>relative au fonctionnement et à la composition de la commission d’aptitude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sectPr w:rsidR="009A31EB">
      <w:headerReference w:type="default" r:id="rId8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A13">
      <w:pPr>
        <w:spacing w:line="240" w:lineRule="auto"/>
      </w:pPr>
      <w:r>
        <w:separator/>
      </w:r>
    </w:p>
  </w:endnote>
  <w:endnote w:type="continuationSeparator" w:id="0">
    <w:p w:rsidR="00000000" w:rsidRDefault="00B61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A13">
      <w:pPr>
        <w:spacing w:line="240" w:lineRule="auto"/>
      </w:pPr>
      <w:r>
        <w:separator/>
      </w:r>
    </w:p>
  </w:footnote>
  <w:footnote w:type="continuationSeparator" w:id="0">
    <w:p w:rsidR="00000000" w:rsidRDefault="00B61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EB" w:rsidRDefault="009A31EB">
    <w:pPr>
      <w:rPr>
        <w:sz w:val="12"/>
        <w:szCs w:val="12"/>
      </w:rPr>
    </w:pPr>
  </w:p>
  <w:tbl>
    <w:tblPr>
      <w:tblStyle w:val="a3"/>
      <w:tblW w:w="1046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5660"/>
      <w:gridCol w:w="980"/>
    </w:tblGrid>
    <w:tr w:rsidR="009A31EB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31EB" w:rsidRDefault="00B61A13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 wp14:anchorId="6638F25E" wp14:editId="31B6E1C8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9A31EB" w:rsidRDefault="00B61A13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Commission d’aptitude</w:t>
          </w:r>
        </w:p>
      </w:tc>
    </w:tr>
    <w:tr w:rsidR="009A31EB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31EB" w:rsidRDefault="009A31EB">
          <w:pPr>
            <w:widowControl w:val="0"/>
            <w:spacing w:line="240" w:lineRule="auto"/>
          </w:pPr>
        </w:p>
      </w:tc>
      <w:tc>
        <w:tcPr>
          <w:tcW w:w="56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A31EB" w:rsidRDefault="00B61A13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6"/>
              <w:szCs w:val="36"/>
            </w:rPr>
            <w:t>Saisine</w:t>
          </w:r>
        </w:p>
      </w:tc>
      <w:bookmarkStart w:id="1" w:name="_mztmsznr7bhy" w:colFirst="0" w:colLast="0"/>
      <w:bookmarkEnd w:id="1"/>
      <w:tc>
        <w:tcPr>
          <w:tcW w:w="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9A31EB" w:rsidRDefault="00B61A13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9A31EB" w:rsidRDefault="009A31EB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D7D"/>
    <w:multiLevelType w:val="multilevel"/>
    <w:tmpl w:val="EEF01D6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6031BCF"/>
    <w:multiLevelType w:val="multilevel"/>
    <w:tmpl w:val="34FC234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31EB"/>
    <w:rsid w:val="009A31EB"/>
    <w:rsid w:val="00B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Eurydice FAFIN</dc:creator>
  <cp:lastModifiedBy>Eurydice FAFIN</cp:lastModifiedBy>
  <cp:revision>2</cp:revision>
  <cp:lastPrinted>2023-04-26T04:18:00Z</cp:lastPrinted>
  <dcterms:created xsi:type="dcterms:W3CDTF">2023-04-26T04:17:00Z</dcterms:created>
  <dcterms:modified xsi:type="dcterms:W3CDTF">2023-04-26T04:20:00Z</dcterms:modified>
</cp:coreProperties>
</file>