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C9" w:rsidRDefault="00EB36FE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Merriweather" w:eastAsia="Merriweather" w:hAnsi="Merriweather" w:cs="Merriweather"/>
          <w:color w:val="4F81BD"/>
          <w:sz w:val="26"/>
          <w:szCs w:val="26"/>
        </w:rPr>
        <w:t>Définition et conditions statutaires</w:t>
      </w:r>
    </w:p>
    <w:p w:rsidR="009F37C9" w:rsidRDefault="00EB36FE">
      <w:pPr>
        <w:tabs>
          <w:tab w:val="left" w:pos="9816"/>
        </w:tabs>
        <w:spacing w:line="240" w:lineRule="auto"/>
        <w:ind w:right="-3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La valorisation de l’expérience professionnelle (VEP) est un dispositif permettant de valoriser l’expérience professionnelle acquise en qualité d’agent non fonctionnaire lors du recrutement au sein des fonctions publiques de Nouvelle-Calédonie. </w:t>
      </w:r>
    </w:p>
    <w:p w:rsidR="009F37C9" w:rsidRDefault="00EB36FE">
      <w:pPr>
        <w:tabs>
          <w:tab w:val="left" w:pos="9816"/>
        </w:tabs>
        <w:spacing w:line="240" w:lineRule="auto"/>
        <w:ind w:right="-31"/>
        <w:jc w:val="both"/>
        <w:rPr>
          <w:rFonts w:ascii="Century Gothic" w:eastAsia="Century Gothic" w:hAnsi="Century Gothic" w:cs="Century Gothic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i/>
          <w:sz w:val="18"/>
          <w:szCs w:val="18"/>
          <w:u w:val="single"/>
        </w:rPr>
        <w:t xml:space="preserve">Conditions statutaires : </w:t>
      </w:r>
    </w:p>
    <w:p w:rsidR="009F37C9" w:rsidRDefault="00EB36FE">
      <w:pPr>
        <w:numPr>
          <w:ilvl w:val="0"/>
          <w:numId w:val="2"/>
        </w:numPr>
        <w:tabs>
          <w:tab w:val="left" w:pos="3"/>
        </w:tabs>
        <w:spacing w:line="240" w:lineRule="auto"/>
        <w:ind w:left="283" w:right="-31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justifier de l’exercice d’une ou de plusieurs activités professionnelles dans des fonctions et domaines d’activités en rapport avec ceux du corps ou du cadre d’emploi de recrutement ;</w:t>
      </w:r>
    </w:p>
    <w:p w:rsidR="009F37C9" w:rsidRDefault="00EB36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line="240" w:lineRule="auto"/>
        <w:ind w:left="283" w:right="-31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seule la moitié de la durée de l’expérience professionnelle peut être valorisée dans la limite maximale de 6 années ; </w:t>
      </w:r>
    </w:p>
    <w:p w:rsidR="009F37C9" w:rsidRDefault="00EB36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spacing w:line="240" w:lineRule="auto"/>
        <w:ind w:left="283" w:right="-31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 VEP ne peut avoir pour effet de procurer un traitement net, assorti des primes éventuellement servies, supérieur au dernier salaire perçu en qualité de salarié.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:rsidR="009F37C9" w:rsidRDefault="009F37C9">
      <w:pPr>
        <w:widowControl w:val="0"/>
        <w:ind w:right="-280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p w:rsidR="009F37C9" w:rsidRDefault="00EB36FE">
      <w:pPr>
        <w:pBdr>
          <w:top w:val="nil"/>
          <w:left w:val="nil"/>
          <w:bottom w:val="single" w:sz="12" w:space="2" w:color="0B5394"/>
          <w:right w:val="nil"/>
          <w:between w:val="nil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923DEE">
        <w:rPr>
          <w:rFonts w:ascii="Merriweather" w:eastAsia="Merriweather" w:hAnsi="Merriweather" w:cs="Merriweather"/>
          <w:color w:val="4F81BD"/>
          <w:sz w:val="26"/>
          <w:szCs w:val="26"/>
        </w:rPr>
        <w:t>Demande</w:t>
      </w:r>
      <w:r>
        <w:rPr>
          <w:rFonts w:ascii="Merriweather" w:eastAsia="Merriweather" w:hAnsi="Merriweather" w:cs="Merriweather"/>
          <w:color w:val="4F81BD"/>
          <w:sz w:val="26"/>
          <w:szCs w:val="26"/>
        </w:rPr>
        <w:t xml:space="preserve"> de l’agent </w:t>
      </w:r>
      <w:r>
        <w:rPr>
          <w:rFonts w:ascii="Merriweather" w:eastAsia="Merriweather" w:hAnsi="Merriweather" w:cs="Merriweather"/>
          <w:color w:val="4F81BD"/>
          <w:sz w:val="16"/>
          <w:szCs w:val="16"/>
        </w:rPr>
        <w:t>(à remplir par l’agent)</w:t>
      </w:r>
    </w:p>
    <w:tbl>
      <w:tblPr>
        <w:tblStyle w:val="a"/>
        <w:tblW w:w="108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60"/>
        <w:gridCol w:w="4350"/>
        <w:gridCol w:w="375"/>
        <w:gridCol w:w="3300"/>
      </w:tblGrid>
      <w:tr w:rsidR="009F37C9">
        <w:trPr>
          <w:trHeight w:val="345"/>
        </w:trPr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EB36F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8385" w:type="dxa"/>
            <w:gridSpan w:val="4"/>
            <w:tcBorders>
              <w:top w:val="single" w:sz="8" w:space="0" w:color="F3F3F3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9F37C9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F37C9">
        <w:trPr>
          <w:trHeight w:val="345"/>
        </w:trPr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EB36F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 / Cadre d’emploi :</w:t>
            </w:r>
          </w:p>
        </w:tc>
        <w:tc>
          <w:tcPr>
            <w:tcW w:w="8385" w:type="dxa"/>
            <w:gridSpan w:val="4"/>
            <w:tcBorders>
              <w:left w:val="single" w:sz="8" w:space="0" w:color="FFFFFF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9F37C9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F37C9">
        <w:trPr>
          <w:trHeight w:val="345"/>
        </w:trPr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EB36F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Emploi occupé :</w:t>
            </w:r>
          </w:p>
        </w:tc>
        <w:tc>
          <w:tcPr>
            <w:tcW w:w="8385" w:type="dxa"/>
            <w:gridSpan w:val="4"/>
            <w:tcBorders>
              <w:left w:val="single" w:sz="8" w:space="0" w:color="FFFFFF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9F37C9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F37C9">
        <w:trPr>
          <w:trHeight w:val="360"/>
        </w:trPr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EB36F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 sein de la :</w:t>
            </w:r>
          </w:p>
        </w:tc>
        <w:tc>
          <w:tcPr>
            <w:tcW w:w="360" w:type="dxa"/>
            <w:tcBorders>
              <w:top w:val="dotted" w:sz="8" w:space="0" w:color="FFFFFF"/>
              <w:left w:val="single" w:sz="8" w:space="0" w:color="FFFFFF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9F37C9">
            <w:pPr>
              <w:keepNext/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dotted" w:sz="8" w:space="0" w:color="FFFFFF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Pr="00E63076" w:rsidRDefault="00EB36F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63076">
              <w:rPr>
                <w:rFonts w:ascii="Century Gothic" w:eastAsia="Century Gothic" w:hAnsi="Century Gothic" w:cs="Century Gothic"/>
                <w:sz w:val="18"/>
                <w:szCs w:val="18"/>
              </w:rPr>
              <w:t>Fonction publique de la Nouvelle-Calédonie</w:t>
            </w:r>
          </w:p>
        </w:tc>
        <w:tc>
          <w:tcPr>
            <w:tcW w:w="375" w:type="dxa"/>
            <w:tcBorders>
              <w:top w:val="dotted" w:sz="8" w:space="0" w:color="FFFFFF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9F37C9">
            <w:pPr>
              <w:keepNext/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dotted" w:sz="8" w:space="0" w:color="FFFFFF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Pr="00E63076" w:rsidRDefault="00EB36F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63076">
              <w:rPr>
                <w:rFonts w:ascii="Century Gothic" w:eastAsia="Century Gothic" w:hAnsi="Century Gothic" w:cs="Century Gothic"/>
                <w:sz w:val="18"/>
                <w:szCs w:val="18"/>
              </w:rPr>
              <w:t>Fonction Publique des communes</w:t>
            </w:r>
          </w:p>
        </w:tc>
      </w:tr>
      <w:tr w:rsidR="009F37C9">
        <w:trPr>
          <w:trHeight w:val="360"/>
        </w:trPr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EB36F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oBack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 :</w:t>
            </w:r>
          </w:p>
        </w:tc>
        <w:tc>
          <w:tcPr>
            <w:tcW w:w="8385" w:type="dxa"/>
            <w:gridSpan w:val="4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9F37C9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bookmarkEnd w:id="0"/>
    </w:tbl>
    <w:p w:rsidR="009F37C9" w:rsidRDefault="009F37C9">
      <w:pPr>
        <w:widowControl w:val="0"/>
        <w:ind w:right="-280"/>
        <w:jc w:val="both"/>
        <w:rPr>
          <w:rFonts w:ascii="Century Gothic" w:eastAsia="Century Gothic" w:hAnsi="Century Gothic" w:cs="Century Gothic"/>
          <w:sz w:val="8"/>
          <w:szCs w:val="8"/>
          <w:highlight w:val="white"/>
        </w:rPr>
      </w:pPr>
    </w:p>
    <w:tbl>
      <w:tblPr>
        <w:tblStyle w:val="a0"/>
        <w:tblW w:w="108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0350"/>
      </w:tblGrid>
      <w:tr w:rsidR="009F37C9">
        <w:tc>
          <w:tcPr>
            <w:tcW w:w="49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37C9" w:rsidRDefault="009F37C9">
            <w:pPr>
              <w:keepNext/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37C9" w:rsidRDefault="00EB36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Je sollicite le bénéfice du dispositif de la VEP dans le cadre de mon recrutement</w:t>
            </w:r>
          </w:p>
        </w:tc>
      </w:tr>
      <w:tr w:rsidR="009F37C9">
        <w:tc>
          <w:tcPr>
            <w:tcW w:w="49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37C9" w:rsidRDefault="009F37C9">
            <w:pPr>
              <w:keepNext/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37C9" w:rsidRDefault="00EB36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Je ne sollicite pas le bénéfice du dispositif de la VEP dans le cadre de mon recrutement</w:t>
            </w:r>
          </w:p>
        </w:tc>
      </w:tr>
    </w:tbl>
    <w:p w:rsidR="009F37C9" w:rsidRDefault="009F37C9">
      <w:pPr>
        <w:tabs>
          <w:tab w:val="right" w:pos="4500"/>
          <w:tab w:val="left" w:pos="4860"/>
          <w:tab w:val="left" w:pos="8931"/>
          <w:tab w:val="right" w:pos="9000"/>
        </w:tabs>
        <w:spacing w:line="240" w:lineRule="auto"/>
        <w:jc w:val="both"/>
        <w:rPr>
          <w:rFonts w:ascii="Century Gothic" w:eastAsia="Century Gothic" w:hAnsi="Century Gothic" w:cs="Century Gothic"/>
          <w:sz w:val="8"/>
          <w:szCs w:val="8"/>
        </w:rPr>
      </w:pPr>
    </w:p>
    <w:p w:rsidR="009F37C9" w:rsidRDefault="00EB36FE">
      <w:pPr>
        <w:tabs>
          <w:tab w:val="right" w:pos="4500"/>
          <w:tab w:val="left" w:pos="4860"/>
          <w:tab w:val="left" w:pos="8931"/>
          <w:tab w:val="right" w:pos="9000"/>
        </w:tabs>
        <w:spacing w:line="240" w:lineRule="auto"/>
        <w:ind w:left="3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>Je reconnais être informé(e) que cette reprise d’ancienneté ne peut être accordée qu’à la nomination.</w:t>
      </w:r>
    </w:p>
    <w:tbl>
      <w:tblPr>
        <w:tblStyle w:val="a1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415"/>
        <w:gridCol w:w="5505"/>
      </w:tblGrid>
      <w:tr w:rsidR="009F37C9"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2415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:</w:t>
            </w:r>
          </w:p>
        </w:tc>
      </w:tr>
    </w:tbl>
    <w:p w:rsidR="009F37C9" w:rsidRDefault="009F37C9">
      <w:pPr>
        <w:widowControl w:val="0"/>
        <w:spacing w:line="120" w:lineRule="auto"/>
        <w:jc w:val="both"/>
        <w:rPr>
          <w:rFonts w:ascii="Lato" w:eastAsia="Lato" w:hAnsi="Lato" w:cs="Lato"/>
          <w:sz w:val="26"/>
          <w:szCs w:val="26"/>
        </w:rPr>
      </w:pPr>
    </w:p>
    <w:p w:rsidR="009F37C9" w:rsidRDefault="00EB36FE">
      <w:pPr>
        <w:pBdr>
          <w:top w:val="nil"/>
          <w:left w:val="nil"/>
          <w:bottom w:val="single" w:sz="12" w:space="2" w:color="0B5394"/>
          <w:right w:val="nil"/>
          <w:between w:val="nil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26"/>
          <w:szCs w:val="26"/>
          <w:highlight w:val="white"/>
        </w:rPr>
      </w:pPr>
      <w:r>
        <w:rPr>
          <w:rFonts w:ascii="Merriweather" w:eastAsia="Merriweather" w:hAnsi="Merriweather" w:cs="Merriweather"/>
          <w:color w:val="4F81BD"/>
          <w:sz w:val="26"/>
          <w:szCs w:val="26"/>
        </w:rPr>
        <w:t>Pièces à fournir par l’agent</w:t>
      </w:r>
    </w:p>
    <w:tbl>
      <w:tblPr>
        <w:tblStyle w:val="a2"/>
        <w:tblW w:w="107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10335"/>
      </w:tblGrid>
      <w:tr w:rsidR="009F37C9">
        <w:tc>
          <w:tcPr>
            <w:tcW w:w="37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37C9" w:rsidRDefault="009F37C9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33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37C9" w:rsidRDefault="00EB36F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Attestation(s) de fonction complétée(s) et signée(s) par l’(les)employeur(s) et accompagnée(s) des justificatifs (attestation ou contrat de travail) mentionnant pour chaque période : les fonctions occupées et le volume horaire hebdomadaire</w:t>
            </w:r>
          </w:p>
        </w:tc>
      </w:tr>
      <w:tr w:rsidR="009F37C9">
        <w:tc>
          <w:tcPr>
            <w:tcW w:w="37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37C9" w:rsidRDefault="009F37C9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33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F37C9" w:rsidRDefault="00EB36FE">
            <w:pPr>
              <w:tabs>
                <w:tab w:val="right" w:pos="4500"/>
                <w:tab w:val="left" w:pos="4860"/>
                <w:tab w:val="left" w:pos="8931"/>
                <w:tab w:val="right" w:pos="9000"/>
              </w:tabs>
              <w:spacing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Les 3 dernières fiches de salaire du dernier employeur (employeur privé ou public)</w:t>
            </w:r>
          </w:p>
        </w:tc>
      </w:tr>
    </w:tbl>
    <w:p w:rsidR="009F37C9" w:rsidRDefault="00EB36FE">
      <w:pPr>
        <w:pBdr>
          <w:top w:val="nil"/>
          <w:left w:val="nil"/>
          <w:bottom w:val="single" w:sz="12" w:space="2" w:color="0B5394"/>
          <w:right w:val="nil"/>
          <w:between w:val="nil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26"/>
          <w:szCs w:val="26"/>
          <w:highlight w:val="white"/>
        </w:rPr>
      </w:pPr>
      <w:r>
        <w:rPr>
          <w:rFonts w:ascii="Merriweather" w:eastAsia="Merriweather" w:hAnsi="Merriweather" w:cs="Merriweather"/>
          <w:color w:val="4F81BD"/>
          <w:sz w:val="26"/>
          <w:szCs w:val="26"/>
        </w:rPr>
        <w:t>Informations à compléter par l’employeur</w:t>
      </w:r>
    </w:p>
    <w:p w:rsidR="009F37C9" w:rsidRDefault="009F37C9">
      <w:pPr>
        <w:widowControl w:val="0"/>
        <w:spacing w:line="120" w:lineRule="auto"/>
        <w:jc w:val="both"/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tbl>
      <w:tblPr>
        <w:tblStyle w:val="a3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2010"/>
        <w:gridCol w:w="1440"/>
        <w:gridCol w:w="1890"/>
      </w:tblGrid>
      <w:tr w:rsidR="009F37C9"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 futur taux de cotisation à la mutuelle des fonctionnaires :</w:t>
            </w:r>
          </w:p>
        </w:tc>
        <w:tc>
          <w:tcPr>
            <w:tcW w:w="2010" w:type="dxa"/>
            <w:tcBorders>
              <w:top w:val="dotted" w:sz="8" w:space="0" w:color="FFFFFF"/>
              <w:left w:val="dotted" w:sz="8" w:space="0" w:color="FFFFFF"/>
              <w:bottom w:val="dotted" w:sz="8" w:space="0" w:color="000000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  <w:t>PS :</w:t>
            </w:r>
          </w:p>
        </w:tc>
        <w:tc>
          <w:tcPr>
            <w:tcW w:w="144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PP :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</w:tr>
      <w:tr w:rsidR="009F37C9">
        <w:trPr>
          <w:trHeight w:val="318"/>
        </w:trPr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 futur taux d’indexation :</w:t>
            </w:r>
          </w:p>
        </w:tc>
        <w:tc>
          <w:tcPr>
            <w:tcW w:w="2010" w:type="dxa"/>
            <w:tcBorders>
              <w:top w:val="dotted" w:sz="8" w:space="0" w:color="000000"/>
              <w:left w:val="dotted" w:sz="8" w:space="0" w:color="FFFFFF"/>
              <w:bottom w:val="dotted" w:sz="8" w:space="0" w:color="000000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</w:tr>
      <w:tr w:rsidR="009F37C9">
        <w:trPr>
          <w:trHeight w:val="180"/>
        </w:trPr>
        <w:tc>
          <w:tcPr>
            <w:tcW w:w="10770" w:type="dxa"/>
            <w:gridSpan w:val="4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 montant des primes et indemnités (exprimés en point d’INM ou en F CFP) qui seront versées à la nomination :</w:t>
            </w:r>
          </w:p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9F37C9">
        <w:trPr>
          <w:trHeight w:val="363"/>
        </w:trPr>
        <w:tc>
          <w:tcPr>
            <w:tcW w:w="5430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  <w:p w:rsidR="009F37C9" w:rsidRDefault="00EB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 dernier salaire brut hors primes de l’agent, à temps plein :</w:t>
            </w:r>
          </w:p>
        </w:tc>
        <w:tc>
          <w:tcPr>
            <w:tcW w:w="2010" w:type="dxa"/>
            <w:tcBorders>
              <w:top w:val="dotted" w:sz="8" w:space="0" w:color="000000"/>
              <w:left w:val="dotted" w:sz="8" w:space="0" w:color="FFFFFF"/>
              <w:bottom w:val="dotted" w:sz="8" w:space="0" w:color="000000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  <w:tc>
          <w:tcPr>
            <w:tcW w:w="1440" w:type="dxa"/>
            <w:tcBorders>
              <w:top w:val="dotted" w:sz="8" w:space="0" w:color="000000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EB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 temps partiel :</w:t>
            </w:r>
          </w:p>
        </w:tc>
        <w:tc>
          <w:tcPr>
            <w:tcW w:w="189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</w:tr>
      <w:tr w:rsidR="009F37C9"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 dernier salaire net avec primes fixes (hors éléments variables) de l’agent, à temps plein :</w:t>
            </w:r>
          </w:p>
        </w:tc>
        <w:tc>
          <w:tcPr>
            <w:tcW w:w="2010" w:type="dxa"/>
            <w:tcBorders>
              <w:top w:val="dotted" w:sz="8" w:space="0" w:color="000000"/>
              <w:left w:val="dotted" w:sz="8" w:space="0" w:color="FFFFFF"/>
              <w:bottom w:val="dotted" w:sz="8" w:space="0" w:color="000000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7C9" w:rsidRDefault="00EB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à temps partiel :</w:t>
            </w:r>
          </w:p>
        </w:tc>
        <w:tc>
          <w:tcPr>
            <w:tcW w:w="189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</w:p>
        </w:tc>
      </w:tr>
    </w:tbl>
    <w:p w:rsidR="009F37C9" w:rsidRDefault="009F37C9">
      <w:pPr>
        <w:widowControl w:val="0"/>
        <w:spacing w:line="120" w:lineRule="auto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p w:rsidR="009F37C9" w:rsidRDefault="009F37C9">
      <w:pPr>
        <w:tabs>
          <w:tab w:val="right" w:pos="4500"/>
          <w:tab w:val="left" w:pos="4860"/>
          <w:tab w:val="left" w:pos="8931"/>
          <w:tab w:val="right" w:pos="9000"/>
        </w:tabs>
        <w:spacing w:line="240" w:lineRule="auto"/>
        <w:ind w:left="34"/>
        <w:jc w:val="both"/>
        <w:rPr>
          <w:rFonts w:ascii="Century Gothic" w:eastAsia="Century Gothic" w:hAnsi="Century Gothic" w:cs="Century Gothic"/>
          <w:sz w:val="6"/>
          <w:szCs w:val="6"/>
        </w:rPr>
      </w:pPr>
    </w:p>
    <w:tbl>
      <w:tblPr>
        <w:tblStyle w:val="a4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530"/>
        <w:gridCol w:w="5505"/>
      </w:tblGrid>
      <w:tr w:rsidR="009F37C9"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4530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9F37C9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C9" w:rsidRDefault="00EB36FE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:</w:t>
            </w:r>
          </w:p>
        </w:tc>
      </w:tr>
    </w:tbl>
    <w:p w:rsidR="009F37C9" w:rsidRDefault="009F37C9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sectPr w:rsidR="009F37C9">
      <w:headerReference w:type="default" r:id="rId8"/>
      <w:footerReference w:type="default" r:id="rId9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3C" w:rsidRDefault="0080433C">
      <w:pPr>
        <w:spacing w:line="240" w:lineRule="auto"/>
      </w:pPr>
      <w:r>
        <w:separator/>
      </w:r>
    </w:p>
  </w:endnote>
  <w:endnote w:type="continuationSeparator" w:id="0">
    <w:p w:rsidR="0080433C" w:rsidRDefault="00804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C9" w:rsidRDefault="00EB36FE">
    <w:pPr>
      <w:spacing w:line="240" w:lineRule="auto"/>
      <w:rPr>
        <w:rFonts w:ascii="Century Gothic" w:eastAsia="Century Gothic" w:hAnsi="Century Gothic" w:cs="Century Gothic"/>
        <w:sz w:val="16"/>
        <w:szCs w:val="16"/>
        <w:highlight w:val="white"/>
      </w:rPr>
    </w:pPr>
    <w:r>
      <w:rPr>
        <w:rFonts w:ascii="Century Gothic" w:eastAsia="Century Gothic" w:hAnsi="Century Gothic" w:cs="Century Gothic"/>
        <w:b/>
        <w:sz w:val="16"/>
        <w:szCs w:val="16"/>
        <w:u w:val="single"/>
      </w:rPr>
      <w:t>Références statutaires</w:t>
    </w:r>
    <w:r>
      <w:rPr>
        <w:rFonts w:ascii="Century Gothic" w:eastAsia="Century Gothic" w:hAnsi="Century Gothic" w:cs="Century Gothic"/>
        <w:b/>
        <w:sz w:val="16"/>
        <w:szCs w:val="16"/>
      </w:rPr>
      <w:t> :</w:t>
    </w:r>
  </w:p>
  <w:p w:rsidR="009F37C9" w:rsidRDefault="00EB36FE">
    <w:pPr>
      <w:numPr>
        <w:ilvl w:val="0"/>
        <w:numId w:val="4"/>
      </w:numPr>
      <w:spacing w:line="240" w:lineRule="auto"/>
      <w:ind w:left="284"/>
      <w:jc w:val="both"/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t xml:space="preserve">Article 23-1 de l’arrêté n° 1065 du 22 août 1953 </w:t>
    </w:r>
    <w:r>
      <w:rPr>
        <w:rFonts w:ascii="Century Gothic" w:eastAsia="Century Gothic" w:hAnsi="Century Gothic" w:cs="Century Gothic"/>
        <w:i/>
        <w:sz w:val="14"/>
        <w:szCs w:val="14"/>
      </w:rPr>
      <w:t>portant statut général des fonctionnaires des cadres territoriaux</w:t>
    </w:r>
    <w:r>
      <w:rPr>
        <w:rFonts w:ascii="Century Gothic" w:eastAsia="Century Gothic" w:hAnsi="Century Gothic" w:cs="Century Gothic"/>
        <w:sz w:val="14"/>
        <w:szCs w:val="14"/>
      </w:rPr>
      <w:t xml:space="preserve"> ;</w:t>
    </w:r>
  </w:p>
  <w:p w:rsidR="009F37C9" w:rsidRDefault="00EB36FE">
    <w:pPr>
      <w:numPr>
        <w:ilvl w:val="0"/>
        <w:numId w:val="4"/>
      </w:numPr>
      <w:spacing w:line="240" w:lineRule="auto"/>
      <w:ind w:left="284"/>
      <w:jc w:val="both"/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t xml:space="preserve">Article 11 de la délibération n° 217 du 29 décembre 2016 </w:t>
    </w:r>
    <w:r>
      <w:rPr>
        <w:rFonts w:ascii="Century Gothic" w:eastAsia="Century Gothic" w:hAnsi="Century Gothic" w:cs="Century Gothic"/>
        <w:i/>
        <w:sz w:val="14"/>
        <w:szCs w:val="14"/>
      </w:rPr>
      <w:t>prise en application de la loi du pays n° 2016-18 du 19 décembre 2016 relative à la résorption de l’emploi précaire dans les fonctions publiques de Nouvelle-Calédonie</w:t>
    </w:r>
    <w:r>
      <w:rPr>
        <w:rFonts w:ascii="Century Gothic" w:eastAsia="Century Gothic" w:hAnsi="Century Gothic" w:cs="Century Gothic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3C" w:rsidRDefault="0080433C">
      <w:pPr>
        <w:spacing w:line="240" w:lineRule="auto"/>
      </w:pPr>
      <w:r>
        <w:separator/>
      </w:r>
    </w:p>
  </w:footnote>
  <w:footnote w:type="continuationSeparator" w:id="0">
    <w:p w:rsidR="0080433C" w:rsidRDefault="00804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C9" w:rsidRDefault="009F37C9">
    <w:pPr>
      <w:rPr>
        <w:sz w:val="12"/>
        <w:szCs w:val="12"/>
      </w:rPr>
    </w:pPr>
  </w:p>
  <w:tbl>
    <w:tblPr>
      <w:tblStyle w:val="a5"/>
      <w:tblW w:w="10620" w:type="dxa"/>
      <w:tblInd w:w="100" w:type="dxa"/>
      <w:tblLayout w:type="fixed"/>
      <w:tblLook w:val="0600" w:firstRow="0" w:lastRow="0" w:firstColumn="0" w:lastColumn="0" w:noHBand="1" w:noVBand="1"/>
    </w:tblPr>
    <w:tblGrid>
      <w:gridCol w:w="3825"/>
      <w:gridCol w:w="6255"/>
      <w:gridCol w:w="540"/>
    </w:tblGrid>
    <w:tr w:rsidR="009F37C9">
      <w:trPr>
        <w:trHeight w:val="560"/>
      </w:trPr>
      <w:tc>
        <w:tcPr>
          <w:tcW w:w="382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F37C9" w:rsidRDefault="00EB36FE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5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9F37C9" w:rsidRDefault="00EB36FE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2"/>
              <w:szCs w:val="32"/>
            </w:rPr>
            <w:t>Recrutement</w:t>
          </w:r>
        </w:p>
      </w:tc>
    </w:tr>
    <w:tr w:rsidR="009F37C9">
      <w:trPr>
        <w:trHeight w:val="420"/>
      </w:trPr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F37C9" w:rsidRDefault="009F37C9">
          <w:pPr>
            <w:widowControl w:val="0"/>
            <w:spacing w:line="240" w:lineRule="auto"/>
          </w:pPr>
        </w:p>
      </w:tc>
      <w:tc>
        <w:tcPr>
          <w:tcW w:w="62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F37C9" w:rsidRDefault="00EB36FE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26"/>
              <w:szCs w:val="26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26"/>
              <w:szCs w:val="26"/>
            </w:rPr>
            <w:t>Demande de valorisation de l’expérience professionnelle</w:t>
          </w:r>
        </w:p>
      </w:tc>
      <w:bookmarkStart w:id="1" w:name="_mztmsznr7bhy" w:colFirst="0" w:colLast="0"/>
      <w:bookmarkEnd w:id="1"/>
      <w:tc>
        <w:tcPr>
          <w:tcW w:w="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9F37C9" w:rsidRDefault="00EB36FE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 w:rsidR="00923DEE"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 w:rsidR="00923DEE"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9F37C9" w:rsidRDefault="009F37C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EA9"/>
    <w:multiLevelType w:val="multilevel"/>
    <w:tmpl w:val="F01E660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460F002F"/>
    <w:multiLevelType w:val="multilevel"/>
    <w:tmpl w:val="8ACC5EA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847181E"/>
    <w:multiLevelType w:val="multilevel"/>
    <w:tmpl w:val="EF4CC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8347924"/>
    <w:multiLevelType w:val="multilevel"/>
    <w:tmpl w:val="4B4C02D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75EE7013"/>
    <w:multiLevelType w:val="multilevel"/>
    <w:tmpl w:val="B0DECA1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7C9"/>
    <w:rsid w:val="0080433C"/>
    <w:rsid w:val="00923DEE"/>
    <w:rsid w:val="009F37C9"/>
    <w:rsid w:val="00E54170"/>
    <w:rsid w:val="00E63076"/>
    <w:rsid w:val="00E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0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3DE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DEE"/>
  </w:style>
  <w:style w:type="paragraph" w:styleId="Pieddepage">
    <w:name w:val="footer"/>
    <w:basedOn w:val="Normal"/>
    <w:link w:val="PieddepageCar"/>
    <w:uiPriority w:val="99"/>
    <w:unhideWhenUsed/>
    <w:rsid w:val="00923DE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0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3DE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DEE"/>
  </w:style>
  <w:style w:type="paragraph" w:styleId="Pieddepage">
    <w:name w:val="footer"/>
    <w:basedOn w:val="Normal"/>
    <w:link w:val="PieddepageCar"/>
    <w:uiPriority w:val="99"/>
    <w:unhideWhenUsed/>
    <w:rsid w:val="00923DE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Eurydice FAFIN</cp:lastModifiedBy>
  <cp:revision>4</cp:revision>
  <dcterms:created xsi:type="dcterms:W3CDTF">2023-08-23T04:32:00Z</dcterms:created>
  <dcterms:modified xsi:type="dcterms:W3CDTF">2023-08-23T04:47:00Z</dcterms:modified>
</cp:coreProperties>
</file>