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-380996</wp:posOffset>
            </wp:positionH>
            <wp:positionV relativeFrom="paragraph">
              <wp:posOffset>-465452</wp:posOffset>
            </wp:positionV>
            <wp:extent cx="6833235" cy="1038225"/>
            <wp:effectExtent b="0" l="0" r="0" t="0"/>
            <wp:wrapNone/>
            <wp:docPr id="103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3235" cy="1038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1985"/>
        </w:tabs>
        <w:ind w:left="0" w:right="-285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19.0" w:type="dxa"/>
        <w:jc w:val="left"/>
        <w:tblInd w:w="0.0" w:type="dxa"/>
        <w:tblLayout w:type="fixed"/>
        <w:tblLook w:val="0000"/>
      </w:tblPr>
      <w:tblGrid>
        <w:gridCol w:w="3898"/>
        <w:gridCol w:w="6221"/>
        <w:tblGridChange w:id="0">
          <w:tblGrid>
            <w:gridCol w:w="3898"/>
            <w:gridCol w:w="622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Direction générale des services</w:t>
            </w:r>
          </w:p>
          <w:p w:rsidR="00000000" w:rsidDel="00000000" w:rsidP="00000000" w:rsidRDefault="00000000" w:rsidRPr="00000000" w14:paraId="00000006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  <w:p w:rsidR="00000000" w:rsidDel="00000000" w:rsidP="00000000" w:rsidRDefault="00000000" w:rsidRPr="00000000" w14:paraId="00000007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Direction des ressources humaines et de</w:t>
            </w:r>
          </w:p>
          <w:p w:rsidR="00000000" w:rsidDel="00000000" w:rsidP="00000000" w:rsidRDefault="00000000" w:rsidRPr="00000000" w14:paraId="00000008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la fonction publique de Nouvelle-Calédonie</w:t>
            </w:r>
          </w:p>
          <w:p w:rsidR="00000000" w:rsidDel="00000000" w:rsidP="00000000" w:rsidRDefault="00000000" w:rsidRPr="00000000" w14:paraId="00000009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  <w:p w:rsidR="00000000" w:rsidDel="00000000" w:rsidP="00000000" w:rsidRDefault="00000000" w:rsidRPr="00000000" w14:paraId="0000000A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Service de la gestion des ressources humaines</w:t>
            </w:r>
          </w:p>
          <w:p w:rsidR="00000000" w:rsidDel="00000000" w:rsidP="00000000" w:rsidRDefault="00000000" w:rsidRPr="00000000" w14:paraId="0000000B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de la collectivité Nouvelle-Calédonie</w:t>
            </w:r>
          </w:p>
          <w:p w:rsidR="00000000" w:rsidDel="00000000" w:rsidP="00000000" w:rsidRDefault="00000000" w:rsidRPr="00000000" w14:paraId="0000000C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---</w:t>
            </w:r>
          </w:p>
          <w:p w:rsidR="00000000" w:rsidDel="00000000" w:rsidP="00000000" w:rsidRDefault="00000000" w:rsidRPr="00000000" w14:paraId="0000000D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B.P. M2 - 98849 Nouméa cedex</w:t>
            </w:r>
          </w:p>
          <w:p w:rsidR="00000000" w:rsidDel="00000000" w:rsidP="00000000" w:rsidRDefault="00000000" w:rsidRPr="00000000" w14:paraId="0000000E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Tél. : 25.61.19</w:t>
            </w:r>
          </w:p>
          <w:p w:rsidR="00000000" w:rsidDel="00000000" w:rsidP="00000000" w:rsidRDefault="00000000" w:rsidRPr="00000000" w14:paraId="0000000F">
            <w:pPr>
              <w:ind w:left="0" w:hanging="2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Affaire suivie par …………….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ind w:left="0" w:hanging="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N° 2022-DRHFPNC-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1"/>
              <w:ind w:left="0" w:right="-143" w:hanging="2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1"/>
              <w:ind w:left="0" w:right="-143" w:firstLine="0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</w:t>
            </w:r>
            <w:r w:rsidDel="00000000" w:rsidR="00000000" w:rsidRPr="00000000">
              <w:rPr>
                <w:u w:val="single"/>
                <w:rtl w:val="0"/>
              </w:rPr>
              <w:t xml:space="preserve">Copies</w:t>
            </w:r>
            <w:r w:rsidDel="00000000" w:rsidR="00000000" w:rsidRPr="00000000">
              <w:rPr>
                <w:rtl w:val="0"/>
              </w:rPr>
              <w:t xml:space="preserve"> :</w:t>
            </w:r>
          </w:p>
          <w:p w:rsidR="00000000" w:rsidDel="00000000" w:rsidP="00000000" w:rsidRDefault="00000000" w:rsidRPr="00000000" w14:paraId="00000014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right" w:pos="9072"/>
              </w:tabs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Direction concernée................1</w:t>
            </w:r>
          </w:p>
          <w:p w:rsidR="00000000" w:rsidDel="00000000" w:rsidP="00000000" w:rsidRDefault="00000000" w:rsidRPr="00000000" w14:paraId="00000016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DRHFPNC/SGRH...................1</w:t>
            </w:r>
          </w:p>
          <w:p w:rsidR="00000000" w:rsidDel="00000000" w:rsidP="00000000" w:rsidRDefault="00000000" w:rsidRPr="00000000" w14:paraId="00000017">
            <w:pPr>
              <w:ind w:left="0" w:hanging="2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DRHFPNC/SBM.....................1</w:t>
            </w:r>
          </w:p>
        </w:tc>
      </w:tr>
    </w:tbl>
    <w:p w:rsidR="00000000" w:rsidDel="00000000" w:rsidP="00000000" w:rsidRDefault="00000000" w:rsidRPr="00000000" w14:paraId="00000018">
      <w:pPr>
        <w:tabs>
          <w:tab w:val="center" w:pos="1985"/>
        </w:tabs>
        <w:ind w:left="0" w:right="-285" w:hanging="2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center" w:pos="1985"/>
        </w:tabs>
        <w:ind w:left="0" w:right="-285" w:hanging="2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ACTE D’ENGAGEMENT </w:t>
      </w:r>
    </w:p>
    <w:p w:rsidR="00000000" w:rsidDel="00000000" w:rsidP="00000000" w:rsidRDefault="00000000" w:rsidRPr="00000000" w14:paraId="0000001A">
      <w:pPr>
        <w:tabs>
          <w:tab w:val="center" w:pos="1985"/>
        </w:tabs>
        <w:ind w:left="0" w:right="-285" w:hanging="2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 Mme / M. …………., agent contractuel de droit public</w:t>
      </w:r>
    </w:p>
    <w:p w:rsidR="00000000" w:rsidDel="00000000" w:rsidP="00000000" w:rsidRDefault="00000000" w:rsidRPr="00000000" w14:paraId="0000001B">
      <w:pPr>
        <w:tabs>
          <w:tab w:val="center" w:pos="1985"/>
        </w:tabs>
        <w:ind w:left="0" w:right="-285" w:hanging="2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right" w:pos="7938"/>
        </w:tabs>
        <w:ind w:left="0" w:hanging="2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D">
      <w:pPr>
        <w:tabs>
          <w:tab w:val="right" w:pos="7938"/>
        </w:tabs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  <w:tab/>
        <w:tab/>
      </w:r>
    </w:p>
    <w:p w:rsidR="00000000" w:rsidDel="00000000" w:rsidP="00000000" w:rsidRDefault="00000000" w:rsidRPr="00000000" w14:paraId="0000001E">
      <w:pPr>
        <w:tabs>
          <w:tab w:val="left" w:pos="1891"/>
        </w:tabs>
        <w:spacing w:after="12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Vu les dispositions du titre IV de la loi du pays n° 2021-4 du 12 mai 2021 relative à la fonction publique de Nouvelle-Calédonie, relatives aux agents contractuels de la fonction publique de Nouvelle-Calédonie ; </w:t>
      </w:r>
    </w:p>
    <w:p w:rsidR="00000000" w:rsidDel="00000000" w:rsidP="00000000" w:rsidRDefault="00000000" w:rsidRPr="00000000" w14:paraId="0000001F">
      <w:pPr>
        <w:tabs>
          <w:tab w:val="left" w:pos="1891"/>
        </w:tabs>
        <w:spacing w:after="12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Vu la délibération n° 182 du 4 novembre 2021, prise en application du titre IV de la loi du pays           n° 2021-4 du 12 mai 2021 relative à la fonction publique de Nouvelle-Calédonie ; </w:t>
      </w:r>
    </w:p>
    <w:p w:rsidR="00000000" w:rsidDel="00000000" w:rsidP="00000000" w:rsidRDefault="00000000" w:rsidRPr="00000000" w14:paraId="00000020">
      <w:pPr>
        <w:tabs>
          <w:tab w:val="left" w:pos="1891"/>
        </w:tabs>
        <w:spacing w:after="12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Vu </w:t>
      </w:r>
      <w:r w:rsidDel="00000000" w:rsidR="00000000" w:rsidRPr="00000000">
        <w:rPr>
          <w:sz w:val="24"/>
          <w:szCs w:val="24"/>
          <w:rtl w:val="0"/>
        </w:rPr>
        <w:t xml:space="preserve">le contrat de travail à durée indéterminée</w:t>
      </w:r>
      <w:r w:rsidDel="00000000" w:rsidR="00000000" w:rsidRPr="00000000">
        <w:rPr>
          <w:sz w:val="24"/>
          <w:szCs w:val="24"/>
          <w:rtl w:val="0"/>
        </w:rPr>
        <w:t xml:space="preserve"> n° CS………en date du…………….signé entre la Nouvelle-Calédonie et Mme / M………..,</w:t>
      </w:r>
    </w:p>
    <w:p w:rsidR="00000000" w:rsidDel="00000000" w:rsidP="00000000" w:rsidRDefault="00000000" w:rsidRPr="00000000" w14:paraId="00000021">
      <w:pPr>
        <w:tabs>
          <w:tab w:val="left" w:pos="567"/>
          <w:tab w:val="left" w:pos="6946"/>
          <w:tab w:val="left" w:pos="9356"/>
        </w:tabs>
        <w:spacing w:after="12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Considérant qu’en application des dispositions des articles </w:t>
      </w:r>
      <w:r w:rsidDel="00000000" w:rsidR="00000000" w:rsidRPr="00000000">
        <w:rPr>
          <w:sz w:val="24"/>
          <w:szCs w:val="24"/>
          <w:rtl w:val="0"/>
        </w:rPr>
        <w:t xml:space="preserve">140 et 141 de </w:t>
      </w:r>
      <w:r w:rsidDel="00000000" w:rsidR="00000000" w:rsidRPr="00000000">
        <w:rPr>
          <w:sz w:val="24"/>
          <w:szCs w:val="24"/>
          <w:rtl w:val="0"/>
        </w:rPr>
        <w:t xml:space="preserve">la délibération n° 182 du 4 novembre 2021, Mme / M. …………, agent bénéficiaire d’un contrat à durée indéterminée pour le compte de la Nouvelle-Calédonie est régi, à compter du 1er mai 2022, par le statut des agents contractuels de droit public,</w:t>
      </w:r>
    </w:p>
    <w:p w:rsidR="00000000" w:rsidDel="00000000" w:rsidP="00000000" w:rsidRDefault="00000000" w:rsidRPr="00000000" w14:paraId="00000022">
      <w:pPr>
        <w:tabs>
          <w:tab w:val="left" w:pos="567"/>
          <w:tab w:val="left" w:pos="6946"/>
          <w:tab w:val="left" w:pos="9356"/>
        </w:tabs>
        <w:spacing w:after="12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731"/>
          <w:tab w:val="left" w:pos="1701"/>
          <w:tab w:val="left" w:pos="1843"/>
        </w:tabs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731"/>
          <w:tab w:val="left" w:pos="1701"/>
          <w:tab w:val="left" w:pos="1843"/>
        </w:tabs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Objet et durée de l’acte d’engagement </w:t>
      </w:r>
    </w:p>
    <w:p w:rsidR="00000000" w:rsidDel="00000000" w:rsidP="00000000" w:rsidRDefault="00000000" w:rsidRPr="00000000" w14:paraId="00000025">
      <w:pPr>
        <w:tabs>
          <w:tab w:val="left" w:pos="731"/>
          <w:tab w:val="left" w:pos="1701"/>
          <w:tab w:val="left" w:pos="1843"/>
        </w:tabs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1891"/>
        </w:tabs>
        <w:spacing w:after="12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Article 1 :</w:t>
      </w:r>
      <w:r w:rsidDel="00000000" w:rsidR="00000000" w:rsidRPr="00000000">
        <w:rPr>
          <w:sz w:val="24"/>
          <w:szCs w:val="24"/>
          <w:rtl w:val="0"/>
        </w:rPr>
        <w:t xml:space="preserve"> A compter du 1er mai 2022, Mme / M. ……………… reste recruté à durée indéterminée et relève du statut des agents contractuels de droit public.</w:t>
      </w:r>
    </w:p>
    <w:p w:rsidR="00000000" w:rsidDel="00000000" w:rsidP="00000000" w:rsidRDefault="00000000" w:rsidRPr="00000000" w14:paraId="00000027">
      <w:pPr>
        <w:tabs>
          <w:tab w:val="left" w:pos="1891"/>
        </w:tabs>
        <w:spacing w:after="120" w:lineRule="auto"/>
        <w:ind w:left="0" w:hanging="2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1891"/>
        </w:tabs>
        <w:spacing w:after="12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Article 2 :</w:t>
      </w:r>
      <w:r w:rsidDel="00000000" w:rsidR="00000000" w:rsidRPr="00000000">
        <w:rPr>
          <w:sz w:val="24"/>
          <w:szCs w:val="24"/>
          <w:rtl w:val="0"/>
        </w:rPr>
        <w:t xml:space="preserve"> L’agent contractuel de droit public continue d’exercer l’emploi de ………….(catégorie….) au sein de la direction………….</w:t>
      </w:r>
    </w:p>
    <w:p w:rsidR="00000000" w:rsidDel="00000000" w:rsidP="00000000" w:rsidRDefault="00000000" w:rsidRPr="00000000" w14:paraId="00000029">
      <w:pPr>
        <w:tabs>
          <w:tab w:val="left" w:pos="1891"/>
        </w:tabs>
        <w:spacing w:after="12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1891"/>
        </w:tabs>
        <w:spacing w:after="12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Article 3 :</w:t>
      </w:r>
      <w:r w:rsidDel="00000000" w:rsidR="00000000" w:rsidRPr="00000000">
        <w:rPr>
          <w:sz w:val="24"/>
          <w:szCs w:val="24"/>
          <w:rtl w:val="0"/>
        </w:rPr>
        <w:t xml:space="preserve"> L’agent contractuel de droit public exercera ses fonctions à temps plein selon les horaires fixées par la direction.</w:t>
      </w:r>
    </w:p>
    <w:p w:rsidR="00000000" w:rsidDel="00000000" w:rsidP="00000000" w:rsidRDefault="00000000" w:rsidRPr="00000000" w14:paraId="0000002B">
      <w:pPr>
        <w:tabs>
          <w:tab w:val="left" w:pos="731"/>
          <w:tab w:val="left" w:pos="1701"/>
          <w:tab w:val="left" w:pos="1843"/>
        </w:tabs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731"/>
          <w:tab w:val="left" w:pos="1701"/>
          <w:tab w:val="left" w:pos="1843"/>
        </w:tabs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731"/>
          <w:tab w:val="left" w:pos="1701"/>
          <w:tab w:val="left" w:pos="1843"/>
        </w:tabs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731"/>
          <w:tab w:val="left" w:pos="1701"/>
          <w:tab w:val="left" w:pos="1843"/>
        </w:tabs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731"/>
          <w:tab w:val="left" w:pos="1701"/>
          <w:tab w:val="left" w:pos="1843"/>
        </w:tabs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731"/>
          <w:tab w:val="left" w:pos="1701"/>
          <w:tab w:val="left" w:pos="1843"/>
        </w:tabs>
        <w:ind w:firstLine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Reclassement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731"/>
          <w:tab w:val="left" w:pos="1701"/>
          <w:tab w:val="left" w:pos="1843"/>
        </w:tabs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731"/>
          <w:tab w:val="left" w:pos="1701"/>
          <w:tab w:val="left" w:pos="1843"/>
        </w:tabs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Article 4 :</w:t>
      </w:r>
      <w:r w:rsidDel="00000000" w:rsidR="00000000" w:rsidRPr="00000000">
        <w:rPr>
          <w:sz w:val="24"/>
          <w:szCs w:val="24"/>
          <w:rtl w:val="0"/>
        </w:rPr>
        <w:t xml:space="preserve"> A compter du 1er mai 2022, M.  ……………est reclassé dans la grille…..à l’échelon….(IB…./INM….) avec une ancienneté conservée de ………………..</w:t>
      </w:r>
    </w:p>
    <w:p w:rsidR="00000000" w:rsidDel="00000000" w:rsidP="00000000" w:rsidRDefault="00000000" w:rsidRPr="00000000" w14:paraId="00000033">
      <w:pPr>
        <w:tabs>
          <w:tab w:val="left" w:pos="731"/>
          <w:tab w:val="left" w:pos="1701"/>
          <w:tab w:val="left" w:pos="1843"/>
        </w:tabs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731"/>
          <w:tab w:val="left" w:pos="1701"/>
          <w:tab w:val="left" w:pos="1843"/>
        </w:tabs>
        <w:ind w:left="1" w:hanging="3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Rémunération et couvertures sociales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80" w:before="280" w:lineRule="auto"/>
        <w:ind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Article 5 :</w:t>
      </w:r>
      <w:r w:rsidDel="00000000" w:rsidR="00000000" w:rsidRPr="00000000">
        <w:rPr>
          <w:sz w:val="24"/>
          <w:szCs w:val="24"/>
          <w:rtl w:val="0"/>
        </w:rPr>
        <w:t xml:space="preserve"> L’agent contractuel de droit public percevra un salaire mensuel brut calculé sur la base de l’indice de reclassement mentionné à l’article 4, pour un horaire mensuel de 169 heures.</w:t>
      </w:r>
    </w:p>
    <w:p w:rsidR="00000000" w:rsidDel="00000000" w:rsidP="00000000" w:rsidRDefault="00000000" w:rsidRPr="00000000" w14:paraId="00000036">
      <w:pPr>
        <w:spacing w:after="280" w:before="280" w:lineRule="auto"/>
        <w:ind w:firstLine="0"/>
        <w:jc w:val="both"/>
        <w:rPr>
          <w:color w:val="ff9900"/>
          <w:sz w:val="24"/>
          <w:szCs w:val="24"/>
        </w:rPr>
      </w:pPr>
      <w:r w:rsidDel="00000000" w:rsidR="00000000" w:rsidRPr="00000000">
        <w:rPr>
          <w:color w:val="ff9900"/>
          <w:sz w:val="24"/>
          <w:szCs w:val="24"/>
          <w:rtl w:val="0"/>
        </w:rPr>
        <w:t xml:space="preserve">ou proposition de rédaction si l’agent a exercé son droit d’option :</w:t>
      </w:r>
    </w:p>
    <w:p w:rsidR="00000000" w:rsidDel="00000000" w:rsidP="00000000" w:rsidRDefault="00000000" w:rsidRPr="00000000" w14:paraId="00000037">
      <w:pPr>
        <w:spacing w:after="280" w:before="280" w:lineRule="auto"/>
        <w:ind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L’agent contractuel de droit public conservera sa rémunération précédente, calculée sur la base du…..éme échelon de la grille des ……………… (IB…../INM…..), pour un horaire mensuel de 169 heures.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80" w:before="280" w:lineRule="auto"/>
        <w:ind w:firstLine="0"/>
        <w:jc w:val="both"/>
        <w:rPr>
          <w:color w:val="ff00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Article 6 : </w:t>
      </w:r>
      <w:r w:rsidDel="00000000" w:rsidR="00000000" w:rsidRPr="00000000">
        <w:rPr>
          <w:sz w:val="24"/>
          <w:szCs w:val="24"/>
          <w:rtl w:val="0"/>
        </w:rPr>
        <w:t xml:space="preserve">En outre, l’agent contractuel de droit public bénéficie du versement mensuel de la prime…… dont le montant est fixé à 1/12ème de la valeur de …….points d’indice nouveau majoré conformément à la délibération n°……du………. créant………………………………………………..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80" w:before="280" w:lineRule="auto"/>
        <w:ind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Article 7 :</w:t>
      </w:r>
      <w:r w:rsidDel="00000000" w:rsidR="00000000" w:rsidRPr="00000000">
        <w:rPr>
          <w:sz w:val="24"/>
          <w:szCs w:val="24"/>
          <w:rtl w:val="0"/>
        </w:rPr>
        <w:t xml:space="preserve"> L’agent contractuel de droit public reste affilié à :</w:t>
      </w:r>
    </w:p>
    <w:p w:rsidR="00000000" w:rsidDel="00000000" w:rsidP="00000000" w:rsidRDefault="00000000" w:rsidRPr="00000000" w14:paraId="0000003A">
      <w:pPr>
        <w:spacing w:after="120" w:before="28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1° la caisse de compensation des prestations familiales et des accidents du travail de la Nouvelle-Calédonie (C.A.F.A.T.) et à la mutuelle des fonctionnaires ;</w:t>
      </w:r>
    </w:p>
    <w:p w:rsidR="00000000" w:rsidDel="00000000" w:rsidP="00000000" w:rsidRDefault="00000000" w:rsidRPr="00000000" w14:paraId="0000003B">
      <w:pPr>
        <w:tabs>
          <w:tab w:val="left" w:pos="240"/>
        </w:tabs>
        <w:spacing w:after="120" w:before="28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2° un régime de retraite complémentaire servie par AGIRC-ARRCO.</w:t>
      </w:r>
    </w:p>
    <w:p w:rsidR="00000000" w:rsidDel="00000000" w:rsidP="00000000" w:rsidRDefault="00000000" w:rsidRPr="00000000" w14:paraId="0000003C">
      <w:pPr>
        <w:tabs>
          <w:tab w:val="left" w:pos="240"/>
        </w:tabs>
        <w:spacing w:after="120" w:before="280" w:lineRule="auto"/>
        <w:ind w:hanging="2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Article 8 :</w:t>
      </w:r>
      <w:r w:rsidDel="00000000" w:rsidR="00000000" w:rsidRPr="00000000">
        <w:rPr>
          <w:sz w:val="24"/>
          <w:szCs w:val="24"/>
          <w:rtl w:val="0"/>
        </w:rPr>
        <w:t xml:space="preserve"> La dépense est imputable au budget de la Nouvelle-Calédonie.</w:t>
      </w:r>
    </w:p>
    <w:p w:rsidR="00000000" w:rsidDel="00000000" w:rsidP="00000000" w:rsidRDefault="00000000" w:rsidRPr="00000000" w14:paraId="0000003D">
      <w:pPr>
        <w:tabs>
          <w:tab w:val="left" w:pos="731"/>
          <w:tab w:val="left" w:pos="1701"/>
          <w:tab w:val="left" w:pos="1843"/>
        </w:tabs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left" w:pos="731"/>
          <w:tab w:val="left" w:pos="1701"/>
          <w:tab w:val="left" w:pos="1843"/>
        </w:tabs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tabs>
          <w:tab w:val="left" w:pos="731"/>
          <w:tab w:val="left" w:pos="1701"/>
          <w:tab w:val="left" w:pos="1843"/>
        </w:tabs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731"/>
          <w:tab w:val="left" w:pos="1701"/>
          <w:tab w:val="left" w:pos="1843"/>
        </w:tabs>
        <w:ind w:left="0" w:firstLine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Droits et obligations du contractant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tabs>
          <w:tab w:val="left" w:pos="731"/>
          <w:tab w:val="left" w:pos="1701"/>
          <w:tab w:val="left" w:pos="1843"/>
        </w:tabs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20" w:lineRule="auto"/>
        <w:ind w:left="-2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Article 9</w:t>
      </w:r>
      <w:r w:rsidDel="00000000" w:rsidR="00000000" w:rsidRPr="00000000">
        <w:rPr>
          <w:sz w:val="24"/>
          <w:szCs w:val="24"/>
          <w:rtl w:val="0"/>
        </w:rPr>
        <w:t xml:space="preserve"> </w:t>
      </w:r>
      <w:r w:rsidDel="00000000" w:rsidR="00000000" w:rsidRPr="00000000">
        <w:rPr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L’agent contractuel de droit public est soumis aux droits et obligations tels que définis par la délibération n° 182 du 4 novembre 2021. Tout manquement au respect des obligations auxquelles est assujetti l’agent contractuel de droit public, commis dans l’exercice ou à l’occasion de l’exercice de leurs fonctions, est constitutif d’une faute l’exposant à une sanction disciplinaire, sans préjudice, le cas échéant, des peines prévues par le code pénal. </w:t>
      </w:r>
    </w:p>
    <w:p w:rsidR="00000000" w:rsidDel="00000000" w:rsidP="00000000" w:rsidRDefault="00000000" w:rsidRPr="00000000" w14:paraId="00000043">
      <w:pPr>
        <w:spacing w:after="120" w:before="28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Article 10 :</w:t>
      </w:r>
      <w:r w:rsidDel="00000000" w:rsidR="00000000" w:rsidRPr="00000000">
        <w:rPr>
          <w:sz w:val="24"/>
          <w:szCs w:val="24"/>
          <w:rtl w:val="0"/>
        </w:rPr>
        <w:t xml:space="preserve"> Le présent acte pourra être rompu pour les motifs et modalités mentionnés dans la délibération susvisée.</w:t>
      </w:r>
    </w:p>
    <w:p w:rsidR="00000000" w:rsidDel="00000000" w:rsidP="00000000" w:rsidRDefault="00000000" w:rsidRPr="00000000" w14:paraId="00000044">
      <w:pPr>
        <w:spacing w:after="120" w:before="28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Article 11 :</w:t>
      </w:r>
      <w:r w:rsidDel="00000000" w:rsidR="00000000" w:rsidRPr="00000000">
        <w:rPr>
          <w:sz w:val="24"/>
          <w:szCs w:val="24"/>
          <w:rtl w:val="0"/>
        </w:rPr>
        <w:t xml:space="preserve"> Il pourra être amené à exercer ses fonctions en un point quelconque de la Nouvelle-Calédonie. Si les nécessités ou la réorganisation du service empêchent le président du gouvernement de la Nouvelle-Calédonie de confier à l’agent l’emploi ci-dessus désigné, celui-ci s’engage à remplir aux mêmes conditions toutes fonctions répondant à ses connaissances ou aptitudes, qui lui seraient confiées en cours de l’acte.</w:t>
      </w:r>
    </w:p>
    <w:p w:rsidR="00000000" w:rsidDel="00000000" w:rsidP="00000000" w:rsidRDefault="00000000" w:rsidRPr="00000000" w14:paraId="00000045">
      <w:pPr>
        <w:spacing w:after="120" w:before="28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Article 12 :</w:t>
      </w:r>
      <w:r w:rsidDel="00000000" w:rsidR="00000000" w:rsidRPr="00000000">
        <w:rPr>
          <w:sz w:val="24"/>
          <w:szCs w:val="24"/>
          <w:rtl w:val="0"/>
        </w:rPr>
        <w:t xml:space="preserve"> L’agent contractuel de droit public s’engage :</w:t>
      </w:r>
    </w:p>
    <w:p w:rsidR="00000000" w:rsidDel="00000000" w:rsidP="00000000" w:rsidRDefault="00000000" w:rsidRPr="00000000" w14:paraId="00000046">
      <w:pPr>
        <w:spacing w:after="120" w:before="280" w:lineRule="auto"/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afterAutospacing="0" w:before="28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à ne fournir aucune information confidentielle dont il aura pu avoir connaissance à l'occasion de ses fonctions;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à faire connaître, sans délai, tout changement dans les éléments d’identification personnels figurant au début du présent acte;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120" w:before="0" w:beforeAutospacing="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à se conformer aux directives et instructions émanant de la direction ou de son représentant.</w:t>
      </w:r>
    </w:p>
    <w:p w:rsidR="00000000" w:rsidDel="00000000" w:rsidP="00000000" w:rsidRDefault="00000000" w:rsidRPr="00000000" w14:paraId="0000004A">
      <w:pPr>
        <w:tabs>
          <w:tab w:val="left" w:pos="731"/>
          <w:tab w:val="left" w:pos="1701"/>
          <w:tab w:val="left" w:pos="1843"/>
        </w:tabs>
        <w:ind w:left="1" w:hanging="3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tabs>
          <w:tab w:val="left" w:pos="240"/>
        </w:tabs>
        <w:spacing w:after="120" w:before="280" w:lineRule="auto"/>
        <w:ind w:left="0" w:hanging="2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Congés</w:t>
      </w:r>
    </w:p>
    <w:p w:rsidR="00000000" w:rsidDel="00000000" w:rsidP="00000000" w:rsidRDefault="00000000" w:rsidRPr="00000000" w14:paraId="0000004C">
      <w:pPr>
        <w:spacing w:after="120" w:before="280" w:lineRule="auto"/>
        <w:ind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Article 13 : </w:t>
      </w:r>
      <w:r w:rsidDel="00000000" w:rsidR="00000000" w:rsidRPr="00000000">
        <w:rPr>
          <w:sz w:val="24"/>
          <w:szCs w:val="24"/>
          <w:rtl w:val="0"/>
        </w:rPr>
        <w:t xml:space="preserve">L’agent contractuel de droit public bénéficie des mêmes droits à congés annuel que ceux applicables aux fonctionnaires relevant de l’arrêté n° 1066 du 22 août 1953 fixant le régime des congés des personnels civils relevant de l’autorité du chef du territoire.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20" w:before="28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En termes d’absences pour hospitalisation, maladie ordinaire ou longue maladie, il est soumis aux dispositions de la délibération n° 182 du 4 novembre 2021 susvisée.</w:t>
      </w:r>
    </w:p>
    <w:p w:rsidR="00000000" w:rsidDel="00000000" w:rsidP="00000000" w:rsidRDefault="00000000" w:rsidRPr="00000000" w14:paraId="0000004E">
      <w:pPr>
        <w:spacing w:after="240" w:before="280" w:lineRule="auto"/>
        <w:ind w:left="0" w:firstLine="0"/>
        <w:jc w:val="both"/>
        <w:rPr>
          <w:b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S’agissant des accidents du travail et des maladies professionnelles médicalement constatées, il est soumis aux règles du droit du travail applicables en Nouvelle-Calédonie.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40" w:before="120" w:lineRule="auto"/>
        <w:ind w:left="2" w:hanging="2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Article 14 : </w:t>
      </w:r>
      <w:r w:rsidDel="00000000" w:rsidR="00000000" w:rsidRPr="00000000">
        <w:rPr>
          <w:sz w:val="24"/>
          <w:szCs w:val="24"/>
          <w:rtl w:val="0"/>
        </w:rPr>
        <w:t xml:space="preserve">A la fin de l’acte d’engagement ou en cas de licenciement n’intervenant pas à titre de sanction disciplinaire, l’agent contractuel de droit public qui, du fait de son employeur, n’a pu bénéficier d’une partie ou d’aucun congé annuel pour nécessité de service, a droit à une indemnité compensatrice.</w:t>
      </w:r>
    </w:p>
    <w:p w:rsidR="00000000" w:rsidDel="00000000" w:rsidP="00000000" w:rsidRDefault="00000000" w:rsidRPr="00000000" w14:paraId="00000050">
      <w:pPr>
        <w:tabs>
          <w:tab w:val="left" w:pos="731"/>
        </w:tabs>
        <w:ind w:left="0" w:hanging="2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tabs>
          <w:tab w:val="left" w:pos="204"/>
        </w:tabs>
        <w:ind w:left="0" w:hanging="2"/>
        <w:jc w:val="both"/>
        <w:rPr>
          <w:sz w:val="24"/>
          <w:szCs w:val="24"/>
        </w:rPr>
      </w:pPr>
      <w:r w:rsidDel="00000000" w:rsidR="00000000" w:rsidRPr="00000000">
        <w:rPr>
          <w:sz w:val="22"/>
          <w:szCs w:val="22"/>
          <w:rtl w:val="0"/>
        </w:rPr>
        <w:t xml:space="preserve">              </w:t>
      </w:r>
      <w:r w:rsidDel="00000000" w:rsidR="00000000" w:rsidRPr="00000000">
        <w:rPr>
          <w:sz w:val="24"/>
          <w:szCs w:val="24"/>
          <w:rtl w:val="0"/>
        </w:rPr>
        <w:t xml:space="preserve">                                                                   </w:t>
      </w:r>
    </w:p>
    <w:p w:rsidR="00000000" w:rsidDel="00000000" w:rsidP="00000000" w:rsidRDefault="00000000" w:rsidRPr="00000000" w14:paraId="00000052">
      <w:pPr>
        <w:tabs>
          <w:tab w:val="left" w:pos="204"/>
        </w:tabs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tabs>
          <w:tab w:val="left" w:pos="204"/>
        </w:tabs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tabs>
          <w:tab w:val="left" w:pos="204"/>
        </w:tabs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tabs>
          <w:tab w:val="left" w:pos="204"/>
        </w:tabs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tabs>
          <w:tab w:val="left" w:pos="204"/>
        </w:tabs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tabs>
          <w:tab w:val="left" w:pos="204"/>
        </w:tabs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tabs>
          <w:tab w:val="left" w:pos="204"/>
        </w:tabs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tabs>
          <w:tab w:val="left" w:pos="204"/>
        </w:tabs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tabs>
          <w:tab w:val="left" w:pos="204"/>
        </w:tabs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tabs>
          <w:tab w:val="left" w:pos="204"/>
        </w:tabs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tabs>
          <w:tab w:val="left" w:pos="204"/>
        </w:tabs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tabs>
          <w:tab w:val="left" w:pos="204"/>
        </w:tabs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tabs>
          <w:tab w:val="left" w:pos="204"/>
        </w:tabs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tabs>
          <w:tab w:val="left" w:pos="204"/>
        </w:tabs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tabs>
          <w:tab w:val="left" w:pos="204"/>
        </w:tabs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204"/>
        </w:tabs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204"/>
        </w:tabs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tabs>
          <w:tab w:val="left" w:pos="204"/>
        </w:tabs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tabs>
          <w:tab w:val="left" w:pos="204"/>
        </w:tabs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tabs>
          <w:tab w:val="left" w:pos="204"/>
        </w:tabs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tabs>
          <w:tab w:val="left" w:pos="204"/>
        </w:tabs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tabs>
          <w:tab w:val="left" w:pos="204"/>
        </w:tabs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204"/>
        </w:tabs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tabs>
          <w:tab w:val="left" w:pos="204"/>
        </w:tabs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204"/>
        </w:tabs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204"/>
        </w:tabs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204"/>
        </w:tabs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204"/>
        </w:tabs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204"/>
        </w:tabs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204"/>
        </w:tabs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204"/>
        </w:tabs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204"/>
        </w:tabs>
        <w:ind w:left="0" w:hanging="2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right" w:pos="7938"/>
        </w:tabs>
        <w:ind w:left="0" w:hanging="2"/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40" w:w="11907" w:orient="portrait"/>
      <w:pgMar w:bottom="244" w:top="238" w:left="1134" w:right="850" w:header="720" w:footer="14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 w:rsidDel="00000000" w:rsidR="00000000" w:rsidRPr="00000000">
      <w:rPr>
        <w:color w:val="000000"/>
        <w:rtl w:val="0"/>
      </w:rPr>
      <w:tab/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114300" distR="114300">
          <wp:extent cx="6301105" cy="501158"/>
          <wp:effectExtent b="0" l="0" r="0" t="0"/>
          <wp:docPr id="103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01105" cy="5011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r-F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143"/>
    </w:pPr>
    <w:rPr>
      <w:b w:val="1"/>
    </w:rPr>
  </w:style>
  <w:style w:type="paragraph" w:styleId="Heading2">
    <w:name w:val="heading 2"/>
    <w:basedOn w:val="Normal"/>
    <w:next w:val="Normal"/>
    <w:pPr>
      <w:keepNext w:val="1"/>
      <w:ind w:right="-143"/>
      <w:jc w:val="center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143"/>
    </w:pPr>
    <w:rPr>
      <w:b w:val="1"/>
    </w:rPr>
  </w:style>
  <w:style w:type="paragraph" w:styleId="Heading2">
    <w:name w:val="heading 2"/>
    <w:basedOn w:val="Normal"/>
    <w:next w:val="Normal"/>
    <w:pPr>
      <w:keepNext w:val="1"/>
      <w:ind w:right="-143"/>
      <w:jc w:val="center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right="-143"/>
    </w:pPr>
    <w:rPr>
      <w:b w:val="1"/>
    </w:rPr>
  </w:style>
  <w:style w:type="paragraph" w:styleId="Heading2">
    <w:name w:val="heading 2"/>
    <w:basedOn w:val="Normal"/>
    <w:next w:val="Normal"/>
    <w:pPr>
      <w:keepNext w:val="1"/>
      <w:ind w:right="-143"/>
      <w:jc w:val="center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</w:style>
  <w:style w:type="paragraph" w:styleId="Titre1">
    <w:name w:val="heading 1"/>
    <w:basedOn w:val="Normal"/>
    <w:next w:val="Normal"/>
    <w:pPr>
      <w:keepNext w:val="1"/>
      <w:ind w:right="-143"/>
    </w:pPr>
    <w:rPr>
      <w:b w:val="1"/>
      <w:bCs w:val="1"/>
    </w:rPr>
  </w:style>
  <w:style w:type="paragraph" w:styleId="Titre2">
    <w:name w:val="heading 2"/>
    <w:basedOn w:val="Normal"/>
    <w:next w:val="Normal"/>
    <w:pPr>
      <w:keepNext w:val="1"/>
      <w:ind w:right="-143"/>
      <w:jc w:val="center"/>
      <w:outlineLvl w:val="1"/>
    </w:pPr>
    <w:rPr>
      <w:b w:val="1"/>
      <w:bCs w:val="1"/>
      <w:sz w:val="36"/>
      <w:szCs w:val="36"/>
    </w:rPr>
  </w:style>
  <w:style w:type="paragraph" w:styleId="Titre3">
    <w:name w:val="heading 3"/>
    <w:basedOn w:val="Normal"/>
    <w:next w:val="Normal"/>
    <w:pPr>
      <w:keepNext w:val="1"/>
      <w:spacing w:after="60" w:before="240"/>
      <w:outlineLvl w:val="2"/>
    </w:pPr>
    <w:rPr>
      <w:rFonts w:ascii="Arial" w:cs="Arial" w:hAnsi="Arial"/>
      <w:b w:val="1"/>
      <w:bCs w:val="1"/>
      <w:sz w:val="26"/>
      <w:szCs w:val="26"/>
    </w:rPr>
  </w:style>
  <w:style w:type="paragraph" w:styleId="Titre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pPr>
      <w:jc w:val="center"/>
    </w:pPr>
    <w:rPr>
      <w:b w:val="1"/>
      <w:bCs w:val="1"/>
      <w:sz w:val="24"/>
      <w:szCs w:val="24"/>
    </w:rPr>
  </w:style>
  <w:style w:type="character" w:styleId="Lienhypertext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Corpsdetexte2">
    <w:name w:val="Body Text 2"/>
    <w:basedOn w:val="Normal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cs="Tahoma" w:hAnsi="Tahoma"/>
      <w:sz w:val="16"/>
      <w:szCs w:val="16"/>
    </w:rPr>
  </w:style>
  <w:style w:type="table" w:styleId="Grilledutableau">
    <w:name w:val="Table Grid"/>
    <w:basedOn w:val="TableauNormal"/>
    <w:pPr>
      <w:suppressAutoHyphens w:val="1"/>
      <w:overflowPunct w:val="0"/>
      <w:autoSpaceDE w:val="0"/>
      <w:autoSpaceDN w:val="0"/>
      <w:adjustRightInd w:val="0"/>
      <w:spacing w:line="1" w:lineRule="atLeast"/>
      <w:ind w:left="-1" w:leftChars="-1" w:hanging="1" w:hangingChars="1"/>
      <w:textDirection w:val="btLr"/>
      <w:textAlignment w:val="baseline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sdetexte">
    <w:name w:val="Body Text"/>
    <w:basedOn w:val="Normal"/>
    <w:pPr>
      <w:overflowPunct w:val="0"/>
      <w:autoSpaceDE w:val="0"/>
      <w:autoSpaceDN w:val="0"/>
      <w:adjustRightInd w:val="0"/>
      <w:spacing w:after="120"/>
      <w:textAlignment w:val="baseline"/>
    </w:pPr>
    <w:rPr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after="100" w:afterAutospacing="1" w:before="100" w:beforeAutospacing="1"/>
    </w:pPr>
    <w:rPr>
      <w:rFonts w:ascii="Arial" w:cs="Arial" w:hAnsi="Arial"/>
      <w:color w:val="000000"/>
      <w:sz w:val="18"/>
      <w:szCs w:val="18"/>
    </w:rPr>
  </w:style>
  <w:style w:type="character" w:styleId="Marquedecommentair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aire">
    <w:name w:val="annotation text"/>
    <w:basedOn w:val="Normal"/>
  </w:style>
  <w:style w:type="paragraph" w:styleId="Objetducommentaire">
    <w:name w:val="annotation subject"/>
    <w:basedOn w:val="Commentaire"/>
    <w:next w:val="Commentaire"/>
    <w:rPr>
      <w:b w:val="1"/>
      <w:bCs w:val="1"/>
    </w:rPr>
  </w:style>
  <w:style w:type="paragraph" w:styleId="Sous-titr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jofXegPdnysIK9Hc0nlutWIN8w==">AMUW2mVTTN1+z7Q4Ypg7Bmsk6a2GfOw2Nx+7AgS11ZDfqdXI5Tt1/1KE1B7fjfZ7ZeqHd7aowrndWlmjD6AjtzAM/FItst2VNqJWzeMTMQ0SRpXg7pCXtvtLJk4hQZyISI+qWJ6AOMSB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2022-02-14T05:18:00Z</dcterms:created>
  <dc:creator>Territoire de la NC</dc:creator>
</cp:coreProperties>
</file>