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02" w:rsidRDefault="000E3D4F">
      <w:pPr>
        <w:widowControl w:val="0"/>
        <w:spacing w:line="120" w:lineRule="auto"/>
        <w:rPr>
          <w:rFonts w:ascii="Merriweather" w:eastAsia="Merriweather" w:hAnsi="Merriweather" w:cs="Merriweather"/>
          <w:color w:val="3D85C6"/>
          <w:sz w:val="28"/>
          <w:szCs w:val="28"/>
        </w:rPr>
      </w:pPr>
      <w:r>
        <w:rPr>
          <w:rFonts w:ascii="Merriweather" w:eastAsia="Merriweather" w:hAnsi="Merriweather" w:cs="Merriweather"/>
          <w:color w:val="3D85C6"/>
          <w:sz w:val="28"/>
          <w:szCs w:val="28"/>
        </w:rPr>
        <w:t>Formulaire</w:t>
      </w:r>
    </w:p>
    <w:p w:rsidR="00DE2C02" w:rsidRDefault="00DE2C0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entury Gothic" w:eastAsia="Century Gothic" w:hAnsi="Century Gothic" w:cs="Century Gothic"/>
          <w:color w:val="3D85C6"/>
          <w:sz w:val="28"/>
          <w:szCs w:val="28"/>
        </w:rPr>
      </w:pPr>
    </w:p>
    <w:p w:rsidR="00DE2C02" w:rsidRDefault="00DE2C0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entury Gothic" w:eastAsia="Century Gothic" w:hAnsi="Century Gothic" w:cs="Century Gothic"/>
          <w:color w:val="3D85C6"/>
          <w:sz w:val="28"/>
          <w:szCs w:val="28"/>
        </w:rPr>
      </w:pPr>
    </w:p>
    <w:p w:rsidR="00DE2C02" w:rsidRDefault="000E3D4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entury Gothic" w:eastAsia="Century Gothic" w:hAnsi="Century Gothic" w:cs="Century Gothic"/>
          <w:color w:val="3D85C6"/>
          <w:sz w:val="28"/>
          <w:szCs w:val="28"/>
        </w:rPr>
      </w:pPr>
      <w:r>
        <w:rPr>
          <w:rFonts w:ascii="Century Gothic" w:eastAsia="Century Gothic" w:hAnsi="Century Gothic" w:cs="Century Gothic"/>
          <w:color w:val="3D85C6"/>
          <w:sz w:val="28"/>
          <w:szCs w:val="28"/>
        </w:rPr>
        <w:t>Références statutaires</w:t>
      </w:r>
    </w:p>
    <w:p w:rsidR="00DE2C02" w:rsidRDefault="000E3D4F">
      <w:pPr>
        <w:widowControl w:val="0"/>
        <w:spacing w:line="120" w:lineRule="auto"/>
        <w:rPr>
          <w:rFonts w:ascii="Century Gothic" w:eastAsia="Century Gothic" w:hAnsi="Century Gothic" w:cs="Century Gothic"/>
          <w:color w:val="3D85C6"/>
          <w:sz w:val="24"/>
          <w:szCs w:val="24"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a9"/>
        <w:tblW w:w="10490" w:type="dxa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0"/>
      </w:tblGrid>
      <w:tr w:rsidR="00DE2C02">
        <w:trPr>
          <w:trHeight w:val="326"/>
        </w:trPr>
        <w:tc>
          <w:tcPr>
            <w:tcW w:w="10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2C02" w:rsidRDefault="000E3D4F">
            <w:pPr>
              <w:keepNext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1"/>
              </w:tabs>
              <w:spacing w:line="240" w:lineRule="auto"/>
              <w:ind w:left="28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Vu la délibération n° 182 du 4 novembre 2021, prise en application du titre IV de la loi du pays n° 2021-4 du 12 mai 2021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relative à la fonction publique Nouvelle-Calédonie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; </w:t>
            </w:r>
          </w:p>
          <w:p w:rsidR="00DE2C02" w:rsidRDefault="000E3D4F">
            <w:pPr>
              <w:keepNext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Vu le titre IV portant les dispositions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relatives aux contractuels de la fonction publique de Nouvelle-Calédonie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la loi du pays n° 2021-4 du 12 mai 2021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relative à la fonction publique Nouvelle-Calédonie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</w:tbl>
    <w:p w:rsidR="00DE2C02" w:rsidRDefault="00DE2C02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color w:val="3D85C6"/>
          <w:sz w:val="28"/>
          <w:szCs w:val="28"/>
        </w:rPr>
      </w:pPr>
    </w:p>
    <w:p w:rsidR="00DE2C02" w:rsidRDefault="00DE2C02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color w:val="3D85C6"/>
          <w:sz w:val="28"/>
          <w:szCs w:val="28"/>
        </w:rPr>
      </w:pPr>
    </w:p>
    <w:p w:rsidR="00DE2C02" w:rsidRDefault="000E3D4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entury Gothic" w:eastAsia="Century Gothic" w:hAnsi="Century Gothic" w:cs="Century Gothic"/>
          <w:color w:val="3D85C6"/>
          <w:sz w:val="28"/>
          <w:szCs w:val="28"/>
        </w:rPr>
      </w:pPr>
      <w:bookmarkStart w:id="0" w:name="_heading=h.sc8n40qjrplh" w:colFirst="0" w:colLast="0"/>
      <w:bookmarkEnd w:id="0"/>
      <w:r>
        <w:rPr>
          <w:rFonts w:ascii="Century Gothic" w:eastAsia="Century Gothic" w:hAnsi="Century Gothic" w:cs="Century Gothic"/>
          <w:color w:val="3D85C6"/>
          <w:sz w:val="28"/>
          <w:szCs w:val="28"/>
        </w:rPr>
        <w:t>Définition et conditions</w:t>
      </w:r>
      <w:r>
        <w:pict>
          <v:rect id="_x0000_i1026" style="width:0;height:1.5pt" o:hralign="center" o:hrstd="t" o:hr="t" fillcolor="#a0a0a0" stroked="f"/>
        </w:pict>
      </w:r>
    </w:p>
    <w:tbl>
      <w:tblPr>
        <w:tblStyle w:val="aa"/>
        <w:tblW w:w="10491" w:type="dxa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1"/>
      </w:tblGrid>
      <w:tr w:rsidR="00DE2C02">
        <w:trPr>
          <w:trHeight w:val="597"/>
        </w:trPr>
        <w:tc>
          <w:tcPr>
            <w:tcW w:w="10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2C02" w:rsidRDefault="000E3D4F">
            <w:pPr>
              <w:keepNext/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Le droit d’option est une procédure permettant à l’agent contractuel de droit public de conserver les dispositions applicables à sa rémunération précédente plutôt que d’être reclassé dans la grille correspondant à son emploi. Il fait l’objet d’une demande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 l'intéressé par le biais de ce formulaire et réceptionnée par l’employeur.</w:t>
            </w:r>
          </w:p>
          <w:p w:rsidR="00DE2C02" w:rsidRDefault="00DE2C02">
            <w:pPr>
              <w:keepNext/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DE2C02" w:rsidRDefault="000E3D4F">
            <w:pPr>
              <w:keepNext/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Ce droit s’exerce réglementairement à compter du 1er mai 2022, date de reclassement dans les nouvelles grilles indiciaires.</w:t>
            </w:r>
          </w:p>
          <w:p w:rsidR="00DE2C02" w:rsidRDefault="00DE2C02">
            <w:pPr>
              <w:keepNext/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DE2C02" w:rsidRDefault="000E3D4F">
            <w:pPr>
              <w:keepNext/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Pour en bénéficier, la demande doit être transmise à</w:t>
            </w: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 xml:space="preserve"> la DRHFPNC</w:t>
            </w:r>
          </w:p>
          <w:p w:rsidR="00DE2C02" w:rsidRDefault="000E3D4F">
            <w:pPr>
              <w:keepNext/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26"/>
                <w:szCs w:val="26"/>
              </w:rPr>
              <w:t>avant le 31 juillet 2022</w:t>
            </w:r>
          </w:p>
        </w:tc>
      </w:tr>
    </w:tbl>
    <w:p w:rsidR="00DE2C02" w:rsidRDefault="00DE2C02">
      <w:pPr>
        <w:keepNext/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DE2C02" w:rsidRDefault="000E3D4F">
      <w:pPr>
        <w:keepNext/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Toutefois, au regard des éléments communiqués individuellement, les demandes de maintien des conditions salariales antérieures sont prises en compte dès réception du présent formulaire et ce même avant la date de rec</w:t>
      </w:r>
      <w:r>
        <w:rPr>
          <w:rFonts w:ascii="Century Gothic" w:eastAsia="Century Gothic" w:hAnsi="Century Gothic" w:cs="Century Gothic"/>
          <w:sz w:val="24"/>
          <w:szCs w:val="24"/>
        </w:rPr>
        <w:t>lassement.</w:t>
      </w:r>
    </w:p>
    <w:p w:rsidR="00DE2C02" w:rsidRDefault="00DE2C02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color w:val="3D85C6"/>
          <w:sz w:val="28"/>
          <w:szCs w:val="28"/>
        </w:rPr>
      </w:pPr>
    </w:p>
    <w:p w:rsidR="00DE2C02" w:rsidRDefault="00DE2C02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color w:val="3D85C6"/>
          <w:sz w:val="28"/>
          <w:szCs w:val="28"/>
        </w:rPr>
      </w:pPr>
    </w:p>
    <w:p w:rsidR="00DE2C02" w:rsidRDefault="000E3D4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entury Gothic" w:eastAsia="Century Gothic" w:hAnsi="Century Gothic" w:cs="Century Gothic"/>
          <w:color w:val="3D85C6"/>
          <w:sz w:val="28"/>
          <w:szCs w:val="28"/>
        </w:rPr>
      </w:pPr>
      <w:bookmarkStart w:id="1" w:name="_heading=h.kxx42xqazpo" w:colFirst="0" w:colLast="0"/>
      <w:bookmarkEnd w:id="1"/>
      <w:r>
        <w:rPr>
          <w:rFonts w:ascii="Century Gothic" w:eastAsia="Century Gothic" w:hAnsi="Century Gothic" w:cs="Century Gothic"/>
          <w:color w:val="3D85C6"/>
          <w:sz w:val="28"/>
          <w:szCs w:val="28"/>
        </w:rPr>
        <w:lastRenderedPageBreak/>
        <w:t>Informations de l’agent</w:t>
      </w:r>
      <w:r>
        <w:pict>
          <v:rect id="_x0000_i1027" style="width:0;height:1.5pt" o:hralign="center" o:hrstd="t" o:hr="t" fillcolor="#a0a0a0" stroked="f"/>
        </w:pict>
      </w:r>
    </w:p>
    <w:tbl>
      <w:tblPr>
        <w:tblStyle w:val="ab"/>
        <w:tblW w:w="10491" w:type="dxa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7514"/>
      </w:tblGrid>
      <w:tr w:rsidR="00DE2C02">
        <w:trPr>
          <w:trHeight w:val="597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2C02" w:rsidRDefault="00DE2C02">
            <w:pPr>
              <w:keepNext/>
              <w:widowControl w:val="0"/>
              <w:spacing w:line="360" w:lineRule="auto"/>
              <w:jc w:val="right"/>
              <w:rPr>
                <w:rFonts w:ascii="Century Gothic" w:eastAsia="Century Gothic" w:hAnsi="Century Gothic" w:cs="Century Gothic"/>
              </w:rPr>
            </w:pPr>
          </w:p>
          <w:p w:rsidR="00DE2C02" w:rsidRDefault="000E3D4F">
            <w:pPr>
              <w:keepNext/>
              <w:widowControl w:val="0"/>
              <w:spacing w:line="360" w:lineRule="auto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 et Prénom :</w:t>
            </w:r>
          </w:p>
        </w:tc>
        <w:tc>
          <w:tcPr>
            <w:tcW w:w="7514" w:type="dxa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2C02" w:rsidRDefault="000E3D4F">
            <w:pPr>
              <w:keepNext/>
              <w:widowControl w:val="0"/>
              <w:spacing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⬜</w:t>
            </w:r>
            <w:r>
              <w:rPr>
                <w:rFonts w:ascii="Century Gothic" w:eastAsia="Century Gothic" w:hAnsi="Century Gothic" w:cs="Century Gothic"/>
              </w:rPr>
              <w:t xml:space="preserve"> M.       </w:t>
            </w:r>
            <w:r>
              <w:rPr>
                <w:rFonts w:ascii="Century Gothic" w:eastAsia="Century Gothic" w:hAnsi="Century Gothic" w:cs="Century Gothic"/>
              </w:rPr>
              <w:t>⬜</w:t>
            </w:r>
            <w:r>
              <w:rPr>
                <w:rFonts w:ascii="Century Gothic" w:eastAsia="Century Gothic" w:hAnsi="Century Gothic" w:cs="Century Gothic"/>
              </w:rPr>
              <w:t xml:space="preserve"> Mme       </w:t>
            </w:r>
          </w:p>
        </w:tc>
      </w:tr>
      <w:tr w:rsidR="00DE2C02">
        <w:trPr>
          <w:trHeight w:val="597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2C02" w:rsidRDefault="000E3D4F">
            <w:pPr>
              <w:keepNext/>
              <w:widowControl w:val="0"/>
              <w:spacing w:line="360" w:lineRule="auto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 de jeune fille :</w:t>
            </w:r>
          </w:p>
        </w:tc>
        <w:tc>
          <w:tcPr>
            <w:tcW w:w="7514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2C02" w:rsidRDefault="00DE2C02">
            <w:pPr>
              <w:keepNext/>
              <w:widowControl w:val="0"/>
              <w:spacing w:line="360" w:lineRule="auto"/>
              <w:ind w:left="382"/>
              <w:rPr>
                <w:rFonts w:ascii="Century Gothic" w:eastAsia="Century Gothic" w:hAnsi="Century Gothic" w:cs="Century Gothic"/>
              </w:rPr>
            </w:pPr>
          </w:p>
        </w:tc>
      </w:tr>
      <w:tr w:rsidR="00DE2C02">
        <w:trPr>
          <w:trHeight w:val="597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2C02" w:rsidRDefault="000E3D4F">
            <w:pPr>
              <w:keepNext/>
              <w:widowControl w:val="0"/>
              <w:spacing w:line="360" w:lineRule="auto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Date et lieu de naissance :</w:t>
            </w:r>
          </w:p>
        </w:tc>
        <w:tc>
          <w:tcPr>
            <w:tcW w:w="7514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2C02" w:rsidRDefault="00DE2C02">
            <w:pPr>
              <w:keepNext/>
              <w:widowControl w:val="0"/>
              <w:spacing w:line="360" w:lineRule="auto"/>
              <w:ind w:left="382"/>
              <w:rPr>
                <w:rFonts w:ascii="Century Gothic" w:eastAsia="Century Gothic" w:hAnsi="Century Gothic" w:cs="Century Gothic"/>
              </w:rPr>
            </w:pPr>
          </w:p>
        </w:tc>
      </w:tr>
      <w:tr w:rsidR="00DE2C02">
        <w:trPr>
          <w:trHeight w:val="597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2C02" w:rsidRDefault="000E3D4F">
            <w:pPr>
              <w:keepNext/>
              <w:widowControl w:val="0"/>
              <w:spacing w:line="360" w:lineRule="auto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Direction :</w:t>
            </w:r>
          </w:p>
        </w:tc>
        <w:tc>
          <w:tcPr>
            <w:tcW w:w="7514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2C02" w:rsidRDefault="00DE2C02">
            <w:pPr>
              <w:keepNext/>
              <w:widowControl w:val="0"/>
              <w:spacing w:line="360" w:lineRule="auto"/>
              <w:ind w:left="382"/>
              <w:rPr>
                <w:rFonts w:ascii="Century Gothic" w:eastAsia="Century Gothic" w:hAnsi="Century Gothic" w:cs="Century Gothic"/>
              </w:rPr>
            </w:pPr>
          </w:p>
        </w:tc>
      </w:tr>
      <w:tr w:rsidR="00DE2C02">
        <w:trPr>
          <w:trHeight w:val="597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2C02" w:rsidRDefault="000E3D4F">
            <w:pPr>
              <w:keepNext/>
              <w:widowControl w:val="0"/>
              <w:spacing w:line="360" w:lineRule="auto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Emploi occupé : </w:t>
            </w:r>
          </w:p>
        </w:tc>
        <w:tc>
          <w:tcPr>
            <w:tcW w:w="7514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2C02" w:rsidRDefault="00DE2C02">
            <w:pPr>
              <w:keepNext/>
              <w:widowControl w:val="0"/>
              <w:spacing w:line="360" w:lineRule="auto"/>
              <w:ind w:left="382"/>
              <w:rPr>
                <w:rFonts w:ascii="Century Gothic" w:eastAsia="Century Gothic" w:hAnsi="Century Gothic" w:cs="Century Gothic"/>
              </w:rPr>
            </w:pPr>
          </w:p>
        </w:tc>
      </w:tr>
    </w:tbl>
    <w:p w:rsidR="00DE2C02" w:rsidRDefault="00DE2C02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color w:val="3D85C6"/>
          <w:sz w:val="28"/>
          <w:szCs w:val="28"/>
        </w:rPr>
      </w:pPr>
    </w:p>
    <w:p w:rsidR="00DE2C02" w:rsidRDefault="00DE2C02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color w:val="3D85C6"/>
          <w:sz w:val="28"/>
          <w:szCs w:val="28"/>
        </w:rPr>
      </w:pPr>
    </w:p>
    <w:p w:rsidR="00DE2C02" w:rsidRDefault="000E3D4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Century Gothic" w:eastAsia="Century Gothic" w:hAnsi="Century Gothic" w:cs="Century Gothic"/>
          <w:color w:val="3D85C6"/>
          <w:sz w:val="28"/>
          <w:szCs w:val="28"/>
        </w:rPr>
      </w:pPr>
      <w:bookmarkStart w:id="2" w:name="_heading=h.p7y65374rwun" w:colFirst="0" w:colLast="0"/>
      <w:bookmarkEnd w:id="2"/>
      <w:r>
        <w:rPr>
          <w:rFonts w:ascii="Century Gothic" w:eastAsia="Century Gothic" w:hAnsi="Century Gothic" w:cs="Century Gothic"/>
          <w:color w:val="3D85C6"/>
          <w:sz w:val="28"/>
          <w:szCs w:val="28"/>
        </w:rPr>
        <w:t>Conditions de reclassement</w:t>
      </w:r>
    </w:p>
    <w:p w:rsidR="00DE2C02" w:rsidRDefault="000E3D4F">
      <w:pPr>
        <w:widowControl w:val="0"/>
        <w:spacing w:line="240" w:lineRule="auto"/>
        <w:rPr>
          <w:rFonts w:ascii="Century Gothic" w:eastAsia="Century Gothic" w:hAnsi="Century Gothic" w:cs="Century Gothic"/>
          <w:color w:val="3D85C6"/>
          <w:sz w:val="28"/>
          <w:szCs w:val="28"/>
        </w:rPr>
      </w:pPr>
      <w:r>
        <w:pict>
          <v:rect id="_x0000_i1028" style="width:0;height:1.5pt" o:hralign="center" o:hrstd="t" o:hr="t" fillcolor="#a0a0a0" stroked="f"/>
        </w:pict>
      </w:r>
    </w:p>
    <w:p w:rsidR="00DE2C02" w:rsidRDefault="00DE2C02">
      <w:pPr>
        <w:widowControl w:val="0"/>
        <w:spacing w:line="240" w:lineRule="auto"/>
        <w:rPr>
          <w:rFonts w:ascii="Century Gothic" w:eastAsia="Century Gothic" w:hAnsi="Century Gothic" w:cs="Century Gothic"/>
          <w:color w:val="3D85C6"/>
          <w:sz w:val="28"/>
          <w:szCs w:val="28"/>
        </w:rPr>
      </w:pPr>
    </w:p>
    <w:tbl>
      <w:tblPr>
        <w:tblStyle w:val="ac"/>
        <w:tblW w:w="10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5245"/>
      </w:tblGrid>
      <w:tr w:rsidR="00DE2C02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02" w:rsidRDefault="000E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3D85C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3D85C6"/>
                <w:sz w:val="28"/>
                <w:szCs w:val="28"/>
              </w:rPr>
              <w:t>Situation actuelle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02" w:rsidRDefault="000E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3D85C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3D85C6"/>
                <w:sz w:val="28"/>
                <w:szCs w:val="28"/>
              </w:rPr>
              <w:t>Situation à venir</w:t>
            </w:r>
          </w:p>
        </w:tc>
      </w:tr>
      <w:tr w:rsidR="00DE2C02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02" w:rsidRDefault="000E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INM :</w:t>
            </w:r>
          </w:p>
          <w:p w:rsidR="00DE2C02" w:rsidRDefault="000E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IB :</w:t>
            </w:r>
          </w:p>
          <w:p w:rsidR="00DE2C02" w:rsidRDefault="000E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Salaire brut :</w:t>
            </w:r>
          </w:p>
          <w:p w:rsidR="00DE2C02" w:rsidRDefault="000E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Salaire net : </w:t>
            </w:r>
          </w:p>
          <w:p w:rsidR="00DE2C02" w:rsidRDefault="00DE2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02" w:rsidRDefault="000E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Grille de reclassement :</w:t>
            </w:r>
          </w:p>
          <w:p w:rsidR="00DE2C02" w:rsidRDefault="000E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INM :</w:t>
            </w:r>
          </w:p>
          <w:p w:rsidR="00DE2C02" w:rsidRDefault="000E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IB :</w:t>
            </w:r>
          </w:p>
          <w:p w:rsidR="00DE2C02" w:rsidRDefault="000E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Salaire brut :</w:t>
            </w:r>
          </w:p>
          <w:p w:rsidR="00DE2C02" w:rsidRDefault="000E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Salaire net :</w:t>
            </w:r>
          </w:p>
          <w:p w:rsidR="00DE2C02" w:rsidRDefault="00DE2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DE2C02" w:rsidRDefault="000E3D4F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cf. grilles indiciaires ci-jointes</w:t>
      </w:r>
    </w:p>
    <w:p w:rsidR="00DE2C02" w:rsidRDefault="00DE2C02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color w:val="3D85C6"/>
          <w:sz w:val="28"/>
          <w:szCs w:val="28"/>
        </w:rPr>
      </w:pPr>
    </w:p>
    <w:p w:rsidR="00DE2C02" w:rsidRDefault="000E3D4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Century Gothic" w:eastAsia="Century Gothic" w:hAnsi="Century Gothic" w:cs="Century Gothic"/>
          <w:color w:val="3D85C6"/>
          <w:sz w:val="28"/>
          <w:szCs w:val="28"/>
        </w:rPr>
      </w:pPr>
      <w:bookmarkStart w:id="3" w:name="_heading=h.idfovl5k7v3p" w:colFirst="0" w:colLast="0"/>
      <w:bookmarkEnd w:id="3"/>
      <w:r>
        <w:rPr>
          <w:rFonts w:ascii="Century Gothic" w:eastAsia="Century Gothic" w:hAnsi="Century Gothic" w:cs="Century Gothic"/>
          <w:color w:val="3D85C6"/>
          <w:sz w:val="28"/>
          <w:szCs w:val="28"/>
        </w:rPr>
        <w:t xml:space="preserve">Exercice du droit d’option </w:t>
      </w:r>
      <w:r>
        <w:rPr>
          <w:rFonts w:ascii="Century Gothic" w:eastAsia="Century Gothic" w:hAnsi="Century Gothic" w:cs="Century Gothic"/>
          <w:color w:val="3D85C6"/>
          <w:sz w:val="28"/>
          <w:szCs w:val="28"/>
        </w:rPr>
        <w:tab/>
        <w:t xml:space="preserve"> </w:t>
      </w:r>
    </w:p>
    <w:p w:rsidR="00DE2C02" w:rsidRDefault="000E3D4F">
      <w:pPr>
        <w:widowControl w:val="0"/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pict>
          <v:rect id="_x0000_i1029" style="width:0;height:1.5pt" o:hralign="center" o:hrstd="t" o:hr="t" fillcolor="#a0a0a0" stroked="f"/>
        </w:pict>
      </w:r>
    </w:p>
    <w:p w:rsidR="00DE2C02" w:rsidRDefault="00DE2C02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DE2C02" w:rsidRDefault="000E3D4F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⬜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Je sollicite le maintien de ma rémunération antérieure à mon reclassement ainsi que les évolutions afférentes jusqu’au jour où je bénéficie, dans ma nouvelle grille, d’un indice brut égal ou supérieur à celui que j’aurais à ce </w:t>
      </w:r>
      <w:r w:rsidR="00AC1316">
        <w:rPr>
          <w:rFonts w:ascii="Century Gothic" w:eastAsia="Century Gothic" w:hAnsi="Century Gothic" w:cs="Century Gothic"/>
          <w:sz w:val="24"/>
          <w:szCs w:val="24"/>
        </w:rPr>
        <w:t>moment-là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DE2C02" w:rsidRDefault="00DE2C02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DE2C02" w:rsidRDefault="000E3D4F">
      <w:pPr>
        <w:widowControl w:val="0"/>
        <w:spacing w:line="240" w:lineRule="auto"/>
        <w:rPr>
          <w:rFonts w:ascii="Century Gothic" w:eastAsia="Century Gothic" w:hAnsi="Century Gothic" w:cs="Century Gothic"/>
          <w:color w:val="3D85C6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Observations év</w:t>
      </w:r>
      <w:r>
        <w:rPr>
          <w:rFonts w:ascii="Century Gothic" w:eastAsia="Century Gothic" w:hAnsi="Century Gothic" w:cs="Century Gothic"/>
          <w:sz w:val="24"/>
          <w:szCs w:val="24"/>
        </w:rPr>
        <w:t>entuelles de l’agent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C02" w:rsidRDefault="00DE2C02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color w:val="3D85C6"/>
          <w:sz w:val="24"/>
          <w:szCs w:val="24"/>
        </w:rPr>
      </w:pPr>
    </w:p>
    <w:p w:rsidR="00DE2C02" w:rsidRDefault="000E3D4F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Je soussigné(e),                                                           certifie sur l’honneur l’ex</w:t>
      </w:r>
      <w:r>
        <w:rPr>
          <w:rFonts w:ascii="Century Gothic" w:eastAsia="Century Gothic" w:hAnsi="Century Gothic" w:cs="Century Gothic"/>
          <w:sz w:val="24"/>
          <w:szCs w:val="24"/>
        </w:rPr>
        <w:t>actitude des informations portées sur le présent imprimé et reconnais être informé(e) des conditions susvisées.</w:t>
      </w:r>
    </w:p>
    <w:p w:rsidR="00DE2C02" w:rsidRDefault="00DE2C02">
      <w:pPr>
        <w:widowControl w:val="0"/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DE2C02" w:rsidRDefault="000E3D4F">
      <w:pPr>
        <w:widowControl w:val="0"/>
        <w:spacing w:line="240" w:lineRule="auto"/>
        <w:jc w:val="center"/>
        <w:rPr>
          <w:rFonts w:ascii="Century Gothic" w:eastAsia="Century Gothic" w:hAnsi="Century Gothic" w:cs="Century Gothic"/>
          <w:color w:val="3D85C6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                     ,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le  :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bookmarkStart w:id="4" w:name="_GoBack"/>
      <w:bookmarkEnd w:id="4"/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Signature :</w:t>
      </w:r>
    </w:p>
    <w:p w:rsidR="00DE2C02" w:rsidRDefault="00DE2C02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color w:val="3D85C6"/>
          <w:sz w:val="28"/>
          <w:szCs w:val="28"/>
        </w:rPr>
      </w:pPr>
    </w:p>
    <w:p w:rsidR="00DE2C02" w:rsidRDefault="00DE2C02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color w:val="3D85C6"/>
          <w:sz w:val="28"/>
          <w:szCs w:val="28"/>
        </w:rPr>
      </w:pPr>
    </w:p>
    <w:p w:rsidR="00DE2C02" w:rsidRDefault="000E3D4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Century Gothic" w:eastAsia="Century Gothic" w:hAnsi="Century Gothic" w:cs="Century Gothic"/>
          <w:color w:val="3D85C6"/>
          <w:sz w:val="28"/>
          <w:szCs w:val="28"/>
        </w:rPr>
      </w:pPr>
      <w:bookmarkStart w:id="5" w:name="_heading=h.s4s6fw6rhx04" w:colFirst="0" w:colLast="0"/>
      <w:bookmarkEnd w:id="5"/>
      <w:r>
        <w:rPr>
          <w:rFonts w:ascii="Century Gothic" w:eastAsia="Century Gothic" w:hAnsi="Century Gothic" w:cs="Century Gothic"/>
          <w:color w:val="3D85C6"/>
          <w:sz w:val="28"/>
          <w:szCs w:val="28"/>
        </w:rPr>
        <w:t>A</w:t>
      </w:r>
      <w:r>
        <w:rPr>
          <w:rFonts w:ascii="Century Gothic" w:eastAsia="Century Gothic" w:hAnsi="Century Gothic" w:cs="Century Gothic"/>
          <w:color w:val="3D85C6"/>
          <w:sz w:val="28"/>
          <w:szCs w:val="28"/>
        </w:rPr>
        <w:t>ccusé de réception</w:t>
      </w:r>
      <w:r>
        <w:rPr>
          <w:rFonts w:ascii="Century Gothic" w:eastAsia="Century Gothic" w:hAnsi="Century Gothic" w:cs="Century Gothic"/>
          <w:color w:val="3D85C6"/>
          <w:sz w:val="28"/>
          <w:szCs w:val="28"/>
        </w:rPr>
        <w:t xml:space="preserve"> de l’employeur</w:t>
      </w:r>
    </w:p>
    <w:p w:rsidR="00DE2C02" w:rsidRDefault="000E3D4F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pict>
          <v:rect id="_x0000_i1030" style="width:0;height:1.5pt" o:hralign="center" o:hrstd="t" o:hr="t" fillcolor="#a0a0a0" stroked="f"/>
        </w:pict>
      </w:r>
    </w:p>
    <w:p w:rsidR="00DE2C02" w:rsidRDefault="00DE2C02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:rsidR="00DE2C02" w:rsidRDefault="000E3D4F">
      <w:pPr>
        <w:widowControl w:val="0"/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⬜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Date de réception à la DRHFPNC : ……………………………………………………………..</w:t>
      </w:r>
    </w:p>
    <w:p w:rsidR="00DE2C02" w:rsidRDefault="000E3D4F">
      <w:pPr>
        <w:widowControl w:val="0"/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⬜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La prise en compte du droit d’option daté du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……………..,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fait l’objet de modification</w:t>
      </w:r>
    </w:p>
    <w:p w:rsidR="00DE2C02" w:rsidRDefault="000E3D4F">
      <w:pPr>
        <w:widowControl w:val="0"/>
        <w:spacing w:line="240" w:lineRule="auto"/>
        <w:rPr>
          <w:rFonts w:ascii="Century Gothic" w:eastAsia="Century Gothic" w:hAnsi="Century Gothic" w:cs="Century Gothic"/>
          <w:color w:val="3D85C6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Observations éventuelles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C02" w:rsidRDefault="00DE2C02">
      <w:pPr>
        <w:widowControl w:val="0"/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DE2C02" w:rsidRDefault="000E3D4F">
      <w:pPr>
        <w:widowControl w:val="0"/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                     ,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le  :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Signature :</w:t>
      </w:r>
    </w:p>
    <w:sectPr w:rsidR="00DE2C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212" w:right="710" w:bottom="284" w:left="709" w:header="27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4F" w:rsidRDefault="000E3D4F">
      <w:pPr>
        <w:spacing w:line="240" w:lineRule="auto"/>
      </w:pPr>
      <w:r>
        <w:separator/>
      </w:r>
    </w:p>
  </w:endnote>
  <w:endnote w:type="continuationSeparator" w:id="0">
    <w:p w:rsidR="000E3D4F" w:rsidRDefault="000E3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02" w:rsidRDefault="000E3D4F">
    <w:pPr>
      <w:jc w:val="center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sz w:val="16"/>
        <w:szCs w:val="16"/>
      </w:rPr>
      <w:t>Pour tout complément d’informations, le service de gestion des ressources humaines de la direction des ressources humaines et de la fonction publique de Nouvelle-Calédonie se tient à votre disposition à l’adresse : drhfpnc.sgrh@gouv.nc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02" w:rsidRDefault="00DE2C02">
    <w:pPr>
      <w:widowControl w:val="0"/>
      <w:spacing w:line="240" w:lineRule="auto"/>
      <w:rPr>
        <w:rFonts w:ascii="Century Gothic" w:eastAsia="Century Gothic" w:hAnsi="Century Gothic" w:cs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02" w:rsidRDefault="00DE2C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4F" w:rsidRDefault="000E3D4F">
      <w:pPr>
        <w:spacing w:line="240" w:lineRule="auto"/>
      </w:pPr>
      <w:r>
        <w:separator/>
      </w:r>
    </w:p>
  </w:footnote>
  <w:footnote w:type="continuationSeparator" w:id="0">
    <w:p w:rsidR="000E3D4F" w:rsidRDefault="000E3D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02" w:rsidRDefault="00DE2C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:rsidR="00DE2C02" w:rsidRDefault="00DE2C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02" w:rsidRDefault="00DE2C02"/>
  <w:tbl>
    <w:tblPr>
      <w:tblStyle w:val="ad"/>
      <w:tblW w:w="10915" w:type="dxa"/>
      <w:tblInd w:w="100" w:type="dxa"/>
      <w:tblLayout w:type="fixed"/>
      <w:tblLook w:val="0600" w:firstRow="0" w:lastRow="0" w:firstColumn="0" w:lastColumn="0" w:noHBand="1" w:noVBand="1"/>
    </w:tblPr>
    <w:tblGrid>
      <w:gridCol w:w="3960"/>
      <w:gridCol w:w="6955"/>
    </w:tblGrid>
    <w:tr w:rsidR="00DE2C02">
      <w:tc>
        <w:tcPr>
          <w:tcW w:w="39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E2C02" w:rsidRDefault="000E3D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>
                <wp:extent cx="2311762" cy="529360"/>
                <wp:effectExtent l="0" t="0" r="0" b="0"/>
                <wp:docPr id="30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E2C02" w:rsidRDefault="000E3D4F">
          <w:pPr>
            <w:keepNext/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jc w:val="center"/>
            <w:rPr>
              <w:rFonts w:ascii="Century Gothic" w:eastAsia="Century Gothic" w:hAnsi="Century Gothic" w:cs="Century Gothic"/>
              <w:color w:val="3D85C6"/>
              <w:sz w:val="38"/>
              <w:szCs w:val="38"/>
            </w:rPr>
          </w:pPr>
          <w:bookmarkStart w:id="6" w:name="_heading=h.30j0zll" w:colFirst="0" w:colLast="0"/>
          <w:bookmarkEnd w:id="6"/>
          <w:r>
            <w:rPr>
              <w:rFonts w:ascii="Century Gothic" w:eastAsia="Century Gothic" w:hAnsi="Century Gothic" w:cs="Century Gothic"/>
              <w:color w:val="3D85C6"/>
              <w:sz w:val="38"/>
              <w:szCs w:val="38"/>
            </w:rPr>
            <w:t>Formulaire</w:t>
          </w:r>
        </w:p>
        <w:p w:rsidR="00DE2C02" w:rsidRDefault="000E3D4F">
          <w:pPr>
            <w:keepNext/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jc w:val="center"/>
            <w:rPr>
              <w:rFonts w:ascii="Century Gothic" w:eastAsia="Century Gothic" w:hAnsi="Century Gothic" w:cs="Century Gothic"/>
              <w:color w:val="3D85C6"/>
              <w:sz w:val="30"/>
              <w:szCs w:val="30"/>
            </w:rPr>
          </w:pPr>
          <w:bookmarkStart w:id="7" w:name="_heading=h.rqrui4a6l8tl" w:colFirst="0" w:colLast="0"/>
          <w:bookmarkEnd w:id="7"/>
          <w:r>
            <w:rPr>
              <w:rFonts w:ascii="Century Gothic" w:eastAsia="Century Gothic" w:hAnsi="Century Gothic" w:cs="Century Gothic"/>
              <w:color w:val="3D85C6"/>
              <w:sz w:val="38"/>
              <w:szCs w:val="38"/>
            </w:rPr>
            <w:t>de droit d’option</w:t>
          </w:r>
        </w:p>
        <w:p w:rsidR="00DE2C02" w:rsidRDefault="000E3D4F">
          <w:pPr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sz w:val="18"/>
              <w:szCs w:val="18"/>
            </w:rPr>
            <w:t>(à remplir par les agents contractuels à durée indéterminée)</w:t>
          </w:r>
        </w:p>
      </w:tc>
    </w:tr>
  </w:tbl>
  <w:p w:rsidR="00DE2C02" w:rsidRDefault="00DE2C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02" w:rsidRDefault="00DE2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E4769"/>
    <w:multiLevelType w:val="multilevel"/>
    <w:tmpl w:val="92985A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2C02"/>
    <w:rsid w:val="000E3D4F"/>
    <w:rsid w:val="00AC1316"/>
    <w:rsid w:val="00D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59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9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C5AD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5ADB"/>
  </w:style>
  <w:style w:type="paragraph" w:styleId="Pieddepage">
    <w:name w:val="footer"/>
    <w:basedOn w:val="Normal"/>
    <w:link w:val="PieddepageCar"/>
    <w:uiPriority w:val="99"/>
    <w:unhideWhenUsed/>
    <w:rsid w:val="003C5AD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5ADB"/>
  </w:style>
  <w:style w:type="paragraph" w:styleId="Paragraphedeliste">
    <w:name w:val="List Paragraph"/>
    <w:basedOn w:val="Normal"/>
    <w:uiPriority w:val="34"/>
    <w:qFormat/>
    <w:rsid w:val="002D5FB4"/>
    <w:pPr>
      <w:ind w:left="720"/>
      <w:contextualSpacing/>
    </w:pPr>
  </w:style>
  <w:style w:type="paragraph" w:customStyle="1" w:styleId="Paragraphedeliste1">
    <w:name w:val="Paragraphe de liste1"/>
    <w:basedOn w:val="Normal"/>
    <w:qFormat/>
    <w:rsid w:val="00AD6EA2"/>
    <w:pPr>
      <w:spacing w:after="200"/>
      <w:ind w:left="720"/>
      <w:contextualSpacing/>
    </w:pPr>
    <w:rPr>
      <w:rFonts w:ascii="Calibri" w:eastAsia="Times New Roman" w:hAnsi="Calibri" w:cs="Times New Roman"/>
      <w:lang w:val="fr-FR" w:eastAsia="en-US"/>
    </w:r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59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9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C5AD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5ADB"/>
  </w:style>
  <w:style w:type="paragraph" w:styleId="Pieddepage">
    <w:name w:val="footer"/>
    <w:basedOn w:val="Normal"/>
    <w:link w:val="PieddepageCar"/>
    <w:uiPriority w:val="99"/>
    <w:unhideWhenUsed/>
    <w:rsid w:val="003C5AD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5ADB"/>
  </w:style>
  <w:style w:type="paragraph" w:styleId="Paragraphedeliste">
    <w:name w:val="List Paragraph"/>
    <w:basedOn w:val="Normal"/>
    <w:uiPriority w:val="34"/>
    <w:qFormat/>
    <w:rsid w:val="002D5FB4"/>
    <w:pPr>
      <w:ind w:left="720"/>
      <w:contextualSpacing/>
    </w:pPr>
  </w:style>
  <w:style w:type="paragraph" w:customStyle="1" w:styleId="Paragraphedeliste1">
    <w:name w:val="Paragraphe de liste1"/>
    <w:basedOn w:val="Normal"/>
    <w:qFormat/>
    <w:rsid w:val="00AD6EA2"/>
    <w:pPr>
      <w:spacing w:after="200"/>
      <w:ind w:left="720"/>
      <w:contextualSpacing/>
    </w:pPr>
    <w:rPr>
      <w:rFonts w:ascii="Calibri" w:eastAsia="Times New Roman" w:hAnsi="Calibri" w:cs="Times New Roman"/>
      <w:lang w:val="fr-FR" w:eastAsia="en-US"/>
    </w:r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mCl7xbYJVoqgCGFBwPp0C0wbqQ==">AMUW2mUAtCgF1O75fjrDzlXjL4l5ch2j5GIeBgkHqQLa39bjTEBrFOo1sQxw9+ursOSE/v7vn3vac1AYWxQwcvJRlWt3r7OWTOrd8w0qpucRYtRwickP+IuEN7xJunFNiqsAvH7YWTaY4z7+J/wRhc7F8U+As8H0x5Ycx/Arx2by70vJc28QCSLVdtPihm6dXwzdN6C8itnYxwztWgAO3NOTQzn235TXuxTvpuHtMExbmaFQoJApz2DMTAsuBvX5BjynFLzMXycN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WAYENECE</dc:creator>
  <cp:lastModifiedBy>Marion LUU</cp:lastModifiedBy>
  <cp:revision>2</cp:revision>
  <dcterms:created xsi:type="dcterms:W3CDTF">2022-02-14T04:40:00Z</dcterms:created>
  <dcterms:modified xsi:type="dcterms:W3CDTF">2022-03-27T22:29:00Z</dcterms:modified>
</cp:coreProperties>
</file>