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34"/>
        <w:tblW w:w="94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519"/>
        <w:gridCol w:w="236"/>
        <w:gridCol w:w="236"/>
        <w:gridCol w:w="236"/>
      </w:tblGrid>
      <w:tr w:rsidR="003E55F5" w:rsidTr="00671F48">
        <w:trPr>
          <w:trHeight w:val="1565"/>
        </w:trPr>
        <w:tc>
          <w:tcPr>
            <w:tcW w:w="236" w:type="dxa"/>
          </w:tcPr>
          <w:p w:rsidR="003E55F5" w:rsidRDefault="003E55F5" w:rsidP="003E55F5">
            <w:pPr>
              <w:pStyle w:val="En-tte"/>
            </w:pPr>
          </w:p>
          <w:p w:rsidR="003E55F5" w:rsidRDefault="003E55F5" w:rsidP="003E55F5">
            <w:pPr>
              <w:jc w:val="center"/>
              <w:rPr>
                <w:b/>
                <w:sz w:val="28"/>
              </w:rPr>
            </w:pPr>
          </w:p>
        </w:tc>
        <w:tc>
          <w:tcPr>
            <w:tcW w:w="8519" w:type="dxa"/>
          </w:tcPr>
          <w:p w:rsidR="003E55F5" w:rsidRDefault="00CF0F69" w:rsidP="00671F48">
            <w:pPr>
              <w:ind w:left="-509" w:firstLine="269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6544842F" wp14:editId="4DA5F09F">
                  <wp:extent cx="5772150" cy="138239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 logo compilations_landscap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0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E55F5" w:rsidRDefault="003E55F5" w:rsidP="00DF0517">
            <w:pPr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3E55F5" w:rsidRDefault="003E55F5" w:rsidP="003E55F5">
            <w:pPr>
              <w:jc w:val="center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3E55F5" w:rsidRDefault="003E55F5" w:rsidP="003E55F5">
            <w:pPr>
              <w:jc w:val="center"/>
              <w:rPr>
                <w:b/>
                <w:sz w:val="28"/>
              </w:rPr>
            </w:pPr>
          </w:p>
        </w:tc>
      </w:tr>
    </w:tbl>
    <w:p w:rsidR="00054F5B" w:rsidRDefault="00054F5B" w:rsidP="00610042">
      <w:pPr>
        <w:jc w:val="center"/>
        <w:rPr>
          <w:b/>
          <w:sz w:val="28"/>
        </w:rPr>
      </w:pPr>
    </w:p>
    <w:p w:rsidR="00610042" w:rsidRDefault="00054F5B" w:rsidP="00DF0517">
      <w:pPr>
        <w:jc w:val="center"/>
        <w:rPr>
          <w:b/>
          <w:sz w:val="28"/>
        </w:rPr>
      </w:pPr>
      <w:r>
        <w:rPr>
          <w:b/>
          <w:sz w:val="28"/>
        </w:rPr>
        <w:t>Appel à candidature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57"/>
        <w:gridCol w:w="7205"/>
      </w:tblGrid>
      <w:tr w:rsidR="003E55F5" w:rsidTr="00A146C2">
        <w:trPr>
          <w:trHeight w:val="5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AA6" w:rsidRDefault="00D72AA6">
            <w:r>
              <w:t>Intitulé du poste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A6" w:rsidRPr="00610042" w:rsidRDefault="002F265E" w:rsidP="007D4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Responsable de </w:t>
            </w:r>
            <w:r w:rsidR="002F7AF2">
              <w:rPr>
                <w:b/>
                <w:sz w:val="28"/>
              </w:rPr>
              <w:t xml:space="preserve">la communication et de </w:t>
            </w:r>
            <w:r>
              <w:rPr>
                <w:b/>
                <w:sz w:val="28"/>
              </w:rPr>
              <w:t>l’engagement communautaire</w:t>
            </w:r>
          </w:p>
          <w:p w:rsidR="00D72AA6" w:rsidRDefault="00D72AA6" w:rsidP="00D72AA6">
            <w:pPr>
              <w:jc w:val="center"/>
              <w:rPr>
                <w:b/>
                <w:sz w:val="28"/>
              </w:rPr>
            </w:pPr>
            <w:r w:rsidRPr="00610042">
              <w:rPr>
                <w:b/>
                <w:sz w:val="28"/>
              </w:rPr>
              <w:t xml:space="preserve">World Mosquito Program </w:t>
            </w:r>
            <w:r>
              <w:rPr>
                <w:b/>
                <w:sz w:val="28"/>
              </w:rPr>
              <w:t>–</w:t>
            </w:r>
            <w:r w:rsidRPr="00610042">
              <w:rPr>
                <w:b/>
                <w:sz w:val="28"/>
              </w:rPr>
              <w:t xml:space="preserve"> Noumea</w:t>
            </w:r>
          </w:p>
          <w:p w:rsidR="00D72AA6" w:rsidRDefault="00D72AA6">
            <w:pPr>
              <w:jc w:val="center"/>
              <w:rPr>
                <w:b/>
              </w:rPr>
            </w:pPr>
          </w:p>
        </w:tc>
      </w:tr>
      <w:tr w:rsidR="003E55F5" w:rsidTr="00A146C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AA6" w:rsidRPr="00ED516B" w:rsidRDefault="00D72AA6">
            <w:r w:rsidRPr="00ED516B">
              <w:t>Référence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A6" w:rsidRPr="00ED516B" w:rsidRDefault="00671F48">
            <w:r w:rsidRPr="00671F48">
              <w:t>WMPN-IPNC-2-2018</w:t>
            </w:r>
          </w:p>
        </w:tc>
      </w:tr>
      <w:tr w:rsidR="003E55F5" w:rsidTr="00A146C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AA6" w:rsidRDefault="00D72AA6">
            <w:r>
              <w:t>Contrat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A6" w:rsidRDefault="00D72AA6">
            <w:r>
              <w:t>Institut Pasteur de Nouvelle-Calédonie</w:t>
            </w:r>
            <w:r w:rsidR="00F63585">
              <w:t xml:space="preserve"> pour le World Mosquito Program Nouméa</w:t>
            </w:r>
          </w:p>
        </w:tc>
      </w:tr>
      <w:tr w:rsidR="003E55F5" w:rsidTr="00A146C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AA6" w:rsidRDefault="00D72AA6">
            <w:r>
              <w:t>Lieu d’affectation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A6" w:rsidRPr="00E36A73" w:rsidRDefault="00D72AA6">
            <w:pPr>
              <w:rPr>
                <w:lang w:val="en-US"/>
              </w:rPr>
            </w:pPr>
            <w:r w:rsidRPr="00E36A73">
              <w:rPr>
                <w:lang w:val="en-US"/>
              </w:rPr>
              <w:t>World Mosquito Program Noumea</w:t>
            </w:r>
          </w:p>
          <w:p w:rsidR="00CF0F69" w:rsidRDefault="00CF0F69">
            <w:pPr>
              <w:rPr>
                <w:lang w:val="en-US"/>
              </w:rPr>
            </w:pPr>
            <w:r>
              <w:rPr>
                <w:lang w:val="en-US"/>
              </w:rPr>
              <w:t>Adresse postale :</w:t>
            </w:r>
          </w:p>
          <w:p w:rsidR="00D72AA6" w:rsidRDefault="00CF0F69" w:rsidP="00CF0F69">
            <w:r>
              <w:rPr>
                <w:lang w:val="en-US"/>
              </w:rPr>
              <w:t>(sous couvert IPNC – BP 61 – 98845 Nouméa Cedex)</w:t>
            </w:r>
          </w:p>
        </w:tc>
      </w:tr>
      <w:tr w:rsidR="003E55F5" w:rsidTr="00A146C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2AA6" w:rsidRDefault="00D72AA6">
            <w:r>
              <w:t>Type de poste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A6" w:rsidRDefault="00D4062A">
            <w:r w:rsidRPr="00D4062A">
              <w:t>Responsable de la communication et de l’engagement communautaire</w:t>
            </w:r>
          </w:p>
        </w:tc>
      </w:tr>
      <w:tr w:rsidR="00A146C2" w:rsidTr="00A146C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C2" w:rsidRDefault="00A146C2" w:rsidP="00A146C2">
            <w:r>
              <w:t>Type de contrat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C2" w:rsidRDefault="00A146C2" w:rsidP="00A146C2">
            <w:r w:rsidRPr="009727BF">
              <w:t xml:space="preserve">CDD 12 mois </w:t>
            </w:r>
            <w:r>
              <w:t xml:space="preserve">renouvelable, </w:t>
            </w:r>
            <w:r w:rsidRPr="009727BF">
              <w:t xml:space="preserve">avec renouvellement </w:t>
            </w:r>
            <w:r>
              <w:t>de 3 à 6 mois.</w:t>
            </w:r>
            <w:r w:rsidRPr="009727BF">
              <w:t> </w:t>
            </w:r>
          </w:p>
        </w:tc>
      </w:tr>
      <w:tr w:rsidR="00A146C2" w:rsidTr="00A146C2">
        <w:trPr>
          <w:trHeight w:val="3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46C2" w:rsidRDefault="00A146C2" w:rsidP="00A146C2">
            <w:r>
              <w:t>A pourvoir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C2" w:rsidRPr="004A43CC" w:rsidRDefault="00A146C2" w:rsidP="00A146C2">
            <w:r>
              <w:t>septembre</w:t>
            </w:r>
            <w:r w:rsidRPr="004A43CC">
              <w:t xml:space="preserve"> 2018</w:t>
            </w:r>
          </w:p>
        </w:tc>
      </w:tr>
    </w:tbl>
    <w:p w:rsidR="004D3D7C" w:rsidRPr="007D3592" w:rsidRDefault="004D3D7C" w:rsidP="00610042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D3D7C" w:rsidTr="004D3D7C">
        <w:trPr>
          <w:trHeight w:val="4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D7C" w:rsidRDefault="004D3D7C">
            <w:r>
              <w:t>Contexte</w:t>
            </w:r>
          </w:p>
        </w:tc>
      </w:tr>
      <w:tr w:rsidR="004D3D7C" w:rsidTr="004D3D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7C" w:rsidRDefault="004D3D7C" w:rsidP="004D3D7C">
            <w:pPr>
              <w:jc w:val="both"/>
            </w:pPr>
            <w:r>
              <w:t xml:space="preserve">Le « World Mosquito Program » </w:t>
            </w:r>
            <w:r w:rsidR="0019792D">
              <w:t xml:space="preserve">(WMP) </w:t>
            </w:r>
            <w:r w:rsidRPr="00610042">
              <w:t xml:space="preserve">est un programme de recherche, </w:t>
            </w:r>
            <w:r>
              <w:t>de</w:t>
            </w:r>
            <w:r w:rsidRPr="00610042">
              <w:t xml:space="preserve"> l’Université Monash</w:t>
            </w:r>
            <w:r w:rsidR="0019792D">
              <w:t xml:space="preserve"> en </w:t>
            </w:r>
            <w:r w:rsidR="00A50CDB">
              <w:t>Australie</w:t>
            </w:r>
            <w:r w:rsidRPr="00610042">
              <w:t xml:space="preserve">, </w:t>
            </w:r>
            <w:r>
              <w:t>dont l’objectif est de</w:t>
            </w:r>
            <w:r w:rsidRPr="00610042">
              <w:t xml:space="preserve"> prévenir la transmission des arbovirus</w:t>
            </w:r>
            <w:r>
              <w:t>, responsables de</w:t>
            </w:r>
            <w:r w:rsidRPr="00610042">
              <w:t xml:space="preserve"> maladies </w:t>
            </w:r>
            <w:r>
              <w:t xml:space="preserve">impactant </w:t>
            </w:r>
            <w:r w:rsidRPr="00610042">
              <w:t>la s</w:t>
            </w:r>
            <w:r>
              <w:t xml:space="preserve">anté des populations vivant dans </w:t>
            </w:r>
            <w:r w:rsidRPr="00610042">
              <w:t>les régions tropicales et subtropicales</w:t>
            </w:r>
            <w:r>
              <w:t>. Au niveau mondial il vise</w:t>
            </w:r>
            <w:r w:rsidR="00330E82">
              <w:t>,</w:t>
            </w:r>
            <w:r>
              <w:t xml:space="preserve"> par</w:t>
            </w:r>
            <w:r w:rsidRPr="00610042">
              <w:t xml:space="preserve"> </w:t>
            </w:r>
            <w:r>
              <w:t>l’amélioration de</w:t>
            </w:r>
            <w:r w:rsidRPr="00610042">
              <w:t xml:space="preserve"> la santé</w:t>
            </w:r>
            <w:r w:rsidR="00330E82">
              <w:t>,</w:t>
            </w:r>
            <w:r w:rsidRPr="00610042">
              <w:t xml:space="preserve"> </w:t>
            </w:r>
            <w:r w:rsidR="00156C91">
              <w:t xml:space="preserve">à </w:t>
            </w:r>
            <w:r w:rsidR="00156C91" w:rsidRPr="00610042">
              <w:t>réduire</w:t>
            </w:r>
            <w:r w:rsidRPr="00610042">
              <w:t xml:space="preserve"> considérablement </w:t>
            </w:r>
            <w:r>
              <w:t>l’impact</w:t>
            </w:r>
            <w:r w:rsidRPr="00610042">
              <w:t xml:space="preserve"> financier </w:t>
            </w:r>
            <w:r>
              <w:t xml:space="preserve">des arboviroses </w:t>
            </w:r>
            <w:r w:rsidRPr="00610042">
              <w:t xml:space="preserve">sur les systèmes de santé </w:t>
            </w:r>
            <w:r>
              <w:t>des régions touchées par ces maladies, et répond là à un des enjeux du plan Do Kamo porté par la Nouvelle-Calédonie</w:t>
            </w:r>
            <w:r w:rsidR="00017FD7">
              <w:t xml:space="preserve"> </w:t>
            </w:r>
            <w:r w:rsidR="006E068F" w:rsidRPr="006E068F">
              <w:t>et l'ensemble des partenaires du projet</w:t>
            </w:r>
            <w:r>
              <w:t>.</w:t>
            </w:r>
          </w:p>
          <w:p w:rsidR="004D3D7C" w:rsidRDefault="004D3D7C" w:rsidP="009E7418">
            <w:pPr>
              <w:jc w:val="both"/>
              <w:rPr>
                <w:highlight w:val="yellow"/>
              </w:rPr>
            </w:pPr>
            <w:r w:rsidRPr="00610042">
              <w:t xml:space="preserve">Le programme </w:t>
            </w:r>
            <w:r>
              <w:t>« World Mosquito Program » est basé</w:t>
            </w:r>
            <w:r w:rsidRPr="00610042">
              <w:t xml:space="preserve"> </w:t>
            </w:r>
            <w:r>
              <w:t>sur l’</w:t>
            </w:r>
            <w:r w:rsidR="0019792D">
              <w:t>introduction dans les</w:t>
            </w:r>
            <w:r>
              <w:t xml:space="preserve"> moustique</w:t>
            </w:r>
            <w:r w:rsidR="00330E82">
              <w:t>s</w:t>
            </w:r>
            <w:r>
              <w:t xml:space="preserve"> </w:t>
            </w:r>
            <w:r w:rsidR="0019792D" w:rsidRPr="002F265E">
              <w:rPr>
                <w:i/>
              </w:rPr>
              <w:t>Aedes aegypti</w:t>
            </w:r>
            <w:r w:rsidR="0019792D">
              <w:t xml:space="preserve"> d’</w:t>
            </w:r>
            <w:r w:rsidRPr="00610042">
              <w:t xml:space="preserve">une bactérie </w:t>
            </w:r>
            <w:r>
              <w:t xml:space="preserve">connue dans le milieu naturel </w:t>
            </w:r>
            <w:r w:rsidRPr="00610042">
              <w:t xml:space="preserve">appelée </w:t>
            </w:r>
            <w:r w:rsidRPr="002F265E">
              <w:rPr>
                <w:i/>
              </w:rPr>
              <w:t>Wolbachia</w:t>
            </w:r>
            <w:r w:rsidRPr="00610042">
              <w:t xml:space="preserve"> </w:t>
            </w:r>
            <w:r w:rsidR="0019792D">
              <w:t xml:space="preserve">qui permet </w:t>
            </w:r>
            <w:r w:rsidRPr="00610042">
              <w:t>de réduire la capacité des moustiques</w:t>
            </w:r>
            <w:r>
              <w:t xml:space="preserve"> à</w:t>
            </w:r>
            <w:r w:rsidRPr="00610042">
              <w:t xml:space="preserve"> transmettre </w:t>
            </w:r>
            <w:r>
              <w:t xml:space="preserve">à l’homme </w:t>
            </w:r>
            <w:r w:rsidRPr="00610042">
              <w:t xml:space="preserve">des </w:t>
            </w:r>
            <w:r>
              <w:t>virus</w:t>
            </w:r>
            <w:r w:rsidRPr="00610042">
              <w:t xml:space="preserve"> comme </w:t>
            </w:r>
            <w:r>
              <w:t xml:space="preserve">le virus de </w:t>
            </w:r>
            <w:r w:rsidRPr="00610042">
              <w:t xml:space="preserve">la dengue, </w:t>
            </w:r>
            <w:r>
              <w:t xml:space="preserve">du </w:t>
            </w:r>
            <w:r w:rsidRPr="00610042">
              <w:t xml:space="preserve">chikungunya et </w:t>
            </w:r>
            <w:r>
              <w:t xml:space="preserve">du </w:t>
            </w:r>
            <w:r w:rsidRPr="00610042">
              <w:t xml:space="preserve">Zika. Après des années de recherche en laboratoire </w:t>
            </w:r>
            <w:r>
              <w:t>sur</w:t>
            </w:r>
            <w:r w:rsidRPr="00610042">
              <w:t xml:space="preserve"> </w:t>
            </w:r>
            <w:r w:rsidRPr="002F265E">
              <w:rPr>
                <w:i/>
              </w:rPr>
              <w:t>Wolbachia</w:t>
            </w:r>
            <w:r w:rsidRPr="00610042">
              <w:t xml:space="preserve">, le </w:t>
            </w:r>
            <w:r>
              <w:t>« World Mosquito Program »</w:t>
            </w:r>
            <w:r w:rsidRPr="00610042">
              <w:t xml:space="preserve"> </w:t>
            </w:r>
            <w:r>
              <w:t>a réalisé des</w:t>
            </w:r>
            <w:r w:rsidRPr="00610042">
              <w:t xml:space="preserve"> essais </w:t>
            </w:r>
            <w:r>
              <w:t>en condition</w:t>
            </w:r>
            <w:r w:rsidR="0019792D">
              <w:t>s</w:t>
            </w:r>
            <w:r>
              <w:t xml:space="preserve"> naturelle</w:t>
            </w:r>
            <w:r w:rsidR="0019792D">
              <w:t>s</w:t>
            </w:r>
            <w:r w:rsidRPr="00610042">
              <w:t xml:space="preserve"> depuis 2011 qui ont montré que cette méthode</w:t>
            </w:r>
            <w:r>
              <w:t xml:space="preserve"> a la capacité de maintenir de façon efficace dans le milieu naturel des moustiques </w:t>
            </w:r>
            <w:r w:rsidR="0019792D">
              <w:t>porteurs de</w:t>
            </w:r>
            <w:r>
              <w:t xml:space="preserve"> </w:t>
            </w:r>
            <w:r w:rsidRPr="002F265E">
              <w:rPr>
                <w:i/>
              </w:rPr>
              <w:t>Wolbachia</w:t>
            </w:r>
            <w:r>
              <w:t xml:space="preserve">. </w:t>
            </w:r>
            <w:r w:rsidRPr="00610042">
              <w:t xml:space="preserve"> Le programme </w:t>
            </w:r>
            <w:r>
              <w:t>entend aujourd’hui affiner à moindre coût la mise au point de</w:t>
            </w:r>
            <w:r w:rsidRPr="00610042">
              <w:t xml:space="preserve"> la méthode à </w:t>
            </w:r>
            <w:r>
              <w:t xml:space="preserve">plus </w:t>
            </w:r>
            <w:r w:rsidRPr="00610042">
              <w:t>grande échelle</w:t>
            </w:r>
            <w:r>
              <w:t xml:space="preserve"> </w:t>
            </w:r>
            <w:r w:rsidRPr="00610042">
              <w:t>dans les zones urbaines dans les pays touchés par la dengue.</w:t>
            </w:r>
            <w:r>
              <w:t xml:space="preserve"> C’est dans ce cadre que le consortium qui réunit des partenaires calédoniens (IPNC, Ville de Nouméa, Gouvernement de </w:t>
            </w:r>
            <w:r w:rsidR="0019792D">
              <w:t xml:space="preserve">la </w:t>
            </w:r>
            <w:r>
              <w:t>Nouvelle-Calédonie) autour de la Monash University</w:t>
            </w:r>
            <w:r w:rsidR="00330E82">
              <w:t xml:space="preserve"> a été créé.</w:t>
            </w:r>
            <w:r>
              <w:t xml:space="preserve"> </w:t>
            </w:r>
          </w:p>
        </w:tc>
      </w:tr>
      <w:tr w:rsidR="004D3D7C" w:rsidTr="004D3D7C">
        <w:trPr>
          <w:trHeight w:val="4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D7C" w:rsidRDefault="004D3D7C">
            <w:r>
              <w:t xml:space="preserve">Identification du poste </w:t>
            </w:r>
          </w:p>
        </w:tc>
      </w:tr>
      <w:tr w:rsidR="004D3D7C" w:rsidTr="002F265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69" w:rsidRDefault="00CF0F69" w:rsidP="009D713F">
            <w:pPr>
              <w:jc w:val="both"/>
            </w:pPr>
            <w:r w:rsidRPr="00CF0F69">
              <w:t xml:space="preserve">Le projet de Nouméa recherche les services d’un </w:t>
            </w:r>
            <w:r>
              <w:t>responsable de la communication et de l’engagement communautaire p</w:t>
            </w:r>
            <w:r w:rsidRPr="00CF0F69">
              <w:t xml:space="preserve">our travailler à temps plein uniquement sur ce programme.  </w:t>
            </w:r>
          </w:p>
          <w:p w:rsidR="00CF0F69" w:rsidRDefault="00CF0F69" w:rsidP="009D713F">
            <w:pPr>
              <w:jc w:val="both"/>
            </w:pPr>
          </w:p>
          <w:p w:rsidR="004D3D7C" w:rsidRDefault="00CF0F69" w:rsidP="009D713F">
            <w:pPr>
              <w:jc w:val="both"/>
            </w:pPr>
            <w:r>
              <w:t>Accompagnée par une agence de communication recrutée pour ce projet et aidé de deux chargés de l’engagement communautaire, l</w:t>
            </w:r>
            <w:r w:rsidR="002F265E">
              <w:t xml:space="preserve">e </w:t>
            </w:r>
            <w:r>
              <w:t>r</w:t>
            </w:r>
            <w:r w:rsidR="002F265E">
              <w:t>esponsable de</w:t>
            </w:r>
            <w:r w:rsidR="002F7AF2">
              <w:t xml:space="preserve"> la communication et de</w:t>
            </w:r>
            <w:r w:rsidR="002F265E">
              <w:t xml:space="preserve"> l’engagement communautaire</w:t>
            </w:r>
            <w:r w:rsidR="002F265E" w:rsidRPr="002F265E">
              <w:t xml:space="preserve"> </w:t>
            </w:r>
            <w:r>
              <w:t xml:space="preserve">devra élaborer et </w:t>
            </w:r>
            <w:r w:rsidR="002F265E">
              <w:t>mettre en place</w:t>
            </w:r>
            <w:r w:rsidR="002F265E" w:rsidRPr="002F265E">
              <w:t xml:space="preserve"> une campagne de communication </w:t>
            </w:r>
            <w:r w:rsidR="00D710CD">
              <w:t>afin</w:t>
            </w:r>
            <w:r w:rsidR="002F265E">
              <w:t xml:space="preserve"> </w:t>
            </w:r>
            <w:r w:rsidR="00D710CD">
              <w:t>d’</w:t>
            </w:r>
            <w:r w:rsidR="002F265E">
              <w:t>obtenir l’adhésion du public au « </w:t>
            </w:r>
            <w:r>
              <w:t>W</w:t>
            </w:r>
            <w:r w:rsidR="002F265E">
              <w:t xml:space="preserve">orld Mosquito Program – Noumea » et </w:t>
            </w:r>
            <w:r>
              <w:t>l</w:t>
            </w:r>
            <w:r w:rsidR="002F265E">
              <w:t xml:space="preserve">a participation </w:t>
            </w:r>
            <w:r>
              <w:t xml:space="preserve">de la population </w:t>
            </w:r>
            <w:r w:rsidR="002F265E">
              <w:t xml:space="preserve">aux lâchers de </w:t>
            </w:r>
            <w:r w:rsidR="002F265E" w:rsidRPr="002F265E">
              <w:t xml:space="preserve">moustiques </w:t>
            </w:r>
            <w:r w:rsidR="009D713F">
              <w:t xml:space="preserve">porteurs de la bactérie </w:t>
            </w:r>
            <w:r w:rsidR="009D713F" w:rsidRPr="00671F48">
              <w:rPr>
                <w:i/>
              </w:rPr>
              <w:t>Wolbachia</w:t>
            </w:r>
            <w:r w:rsidR="009D713F">
              <w:t>.</w:t>
            </w:r>
            <w:r w:rsidR="002F265E" w:rsidRPr="002F265E">
              <w:t xml:space="preserve"> </w:t>
            </w:r>
          </w:p>
          <w:p w:rsidR="009D713F" w:rsidRDefault="009D713F" w:rsidP="009D713F">
            <w:pPr>
              <w:jc w:val="both"/>
            </w:pPr>
          </w:p>
          <w:p w:rsidR="009D713F" w:rsidRDefault="00D710CD" w:rsidP="00017FD7">
            <w:pPr>
              <w:jc w:val="both"/>
            </w:pPr>
            <w:r>
              <w:t xml:space="preserve">Le </w:t>
            </w:r>
            <w:r w:rsidR="00CF0F69">
              <w:t>r</w:t>
            </w:r>
            <w:r>
              <w:t xml:space="preserve">esponsable de </w:t>
            </w:r>
            <w:r w:rsidR="00D4062A">
              <w:t xml:space="preserve">la communication et de </w:t>
            </w:r>
            <w:r>
              <w:t xml:space="preserve">l’engagement communautaire devra : </w:t>
            </w:r>
          </w:p>
          <w:p w:rsidR="00546090" w:rsidRDefault="00546090" w:rsidP="00671F48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Établir des relations précieuses avec les principaux dirigeants et intervenants (tels que les groupes de référence, les groupes communautaires et les médias).</w:t>
            </w:r>
          </w:p>
          <w:p w:rsidR="00D710CD" w:rsidRDefault="00546090" w:rsidP="00D710C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Développer, réviser et gérer de manière proactive les activités de communication internes et externes, à travers les médias numériques et imprimés, y compris le site Web, brochures / dépliants, discours, annonces, communiqués de presse, bulletins d'information, etc.</w:t>
            </w:r>
            <w:r w:rsidR="00D710CD">
              <w:t>Assurer le pilotage de</w:t>
            </w:r>
            <w:r w:rsidR="002F7AF2">
              <w:t xml:space="preserve"> la communication et de</w:t>
            </w:r>
            <w:r w:rsidR="00D710CD">
              <w:t xml:space="preserve"> l’engagement communautaire dans l’ensemble de la </w:t>
            </w:r>
            <w:r w:rsidR="00A146C2">
              <w:t>v</w:t>
            </w:r>
            <w:r w:rsidR="00D710CD">
              <w:t>ille de Nouméa.</w:t>
            </w:r>
          </w:p>
          <w:p w:rsidR="00D710CD" w:rsidRDefault="00D710CD" w:rsidP="00D710C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 xml:space="preserve">Rendre compte régulièrement et à la demande du </w:t>
            </w:r>
            <w:r w:rsidR="00546090">
              <w:t>c</w:t>
            </w:r>
            <w:r>
              <w:t>hef de projet des avancées</w:t>
            </w:r>
            <w:r w:rsidR="00D4062A">
              <w:t xml:space="preserve"> dans ce domaine</w:t>
            </w:r>
            <w:r>
              <w:t>.</w:t>
            </w:r>
          </w:p>
          <w:p w:rsidR="00D710CD" w:rsidRDefault="00D710CD" w:rsidP="00D710C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Gérer le budget qui lui est alloué.</w:t>
            </w:r>
          </w:p>
          <w:p w:rsidR="00D710CD" w:rsidRDefault="00D710CD" w:rsidP="00D710C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Organiser les rencontres nécessaires au projet.</w:t>
            </w:r>
          </w:p>
          <w:p w:rsidR="00D710CD" w:rsidRDefault="00D710CD" w:rsidP="00D710CD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Respecter les délais et gérer les aléas.</w:t>
            </w:r>
          </w:p>
          <w:p w:rsidR="00D710CD" w:rsidRDefault="00D710CD" w:rsidP="009E7418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 xml:space="preserve">Atteindre les objectifs fixés et suivre les indicateurs </w:t>
            </w:r>
            <w:r w:rsidR="002F7AF2">
              <w:t xml:space="preserve"> de la communication et </w:t>
            </w:r>
            <w:r>
              <w:t>de l’engagement communautaire.</w:t>
            </w:r>
          </w:p>
        </w:tc>
      </w:tr>
      <w:tr w:rsidR="004D3D7C" w:rsidTr="004D3D7C">
        <w:trPr>
          <w:trHeight w:val="4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D7C" w:rsidRDefault="004D3D7C">
            <w:r>
              <w:t>Qualification</w:t>
            </w:r>
          </w:p>
        </w:tc>
      </w:tr>
      <w:tr w:rsidR="004D3D7C" w:rsidTr="004D3D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7C" w:rsidRDefault="00900352" w:rsidP="009E7418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Bac + 3 à +5 : formation universitaire</w:t>
            </w:r>
            <w:r w:rsidR="00546090">
              <w:t xml:space="preserve"> de préférence en journalisme</w:t>
            </w:r>
            <w:r w:rsidR="00A146C2">
              <w:t xml:space="preserve"> / communication</w:t>
            </w:r>
          </w:p>
          <w:p w:rsidR="000F5FF2" w:rsidRDefault="00900352" w:rsidP="000F5FF2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 xml:space="preserve">5 ans d’expérience requis en </w:t>
            </w:r>
            <w:r w:rsidRPr="00017FD7">
              <w:t xml:space="preserve">marketing </w:t>
            </w:r>
            <w:r>
              <w:t>et/ou en communication</w:t>
            </w:r>
            <w:r w:rsidR="000F5FF2">
              <w:t>, gestion de projets</w:t>
            </w:r>
          </w:p>
          <w:p w:rsidR="00B85BA5" w:rsidRDefault="00B85BA5" w:rsidP="009E7418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Permis de conduire indispensable</w:t>
            </w:r>
          </w:p>
          <w:p w:rsidR="00B85BA5" w:rsidRDefault="00B85BA5" w:rsidP="009E7418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Bonne maîtrise de l’anglais et du français (écrit et oral)</w:t>
            </w:r>
          </w:p>
          <w:p w:rsidR="00B85BA5" w:rsidRDefault="00B85BA5" w:rsidP="009E7418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Connaissance du territoire de l’étude (Nouméa).</w:t>
            </w:r>
          </w:p>
        </w:tc>
      </w:tr>
      <w:tr w:rsidR="004D3D7C" w:rsidTr="004D3D7C">
        <w:trPr>
          <w:trHeight w:val="4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D7C" w:rsidRDefault="004D3D7C">
            <w:r>
              <w:t>Compétences</w:t>
            </w:r>
          </w:p>
        </w:tc>
      </w:tr>
      <w:tr w:rsidR="004D3D7C" w:rsidTr="004D3D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A5" w:rsidRDefault="00B85BA5" w:rsidP="00B85BA5">
            <w:pPr>
              <w:jc w:val="both"/>
            </w:pPr>
            <w:r>
              <w:t>Pour répondre aux missions fixées pour ce poste à responsabilités</w:t>
            </w:r>
            <w:r w:rsidRPr="00610042">
              <w:t xml:space="preserve">, il est </w:t>
            </w:r>
            <w:r>
              <w:t>souhaité l</w:t>
            </w:r>
            <w:r w:rsidRPr="00610042">
              <w:t xml:space="preserve">es compétences </w:t>
            </w:r>
            <w:r>
              <w:t xml:space="preserve">suivantes </w:t>
            </w:r>
            <w:r w:rsidRPr="00610042">
              <w:t xml:space="preserve">: </w:t>
            </w:r>
          </w:p>
          <w:p w:rsidR="00B85BA5" w:rsidRDefault="00B85BA5">
            <w:pPr>
              <w:jc w:val="both"/>
              <w:rPr>
                <w:b/>
                <w:u w:val="single"/>
              </w:rPr>
            </w:pPr>
          </w:p>
          <w:p w:rsidR="00FA558F" w:rsidRDefault="002F26B2">
            <w:pPr>
              <w:jc w:val="both"/>
              <w:rPr>
                <w:b/>
                <w:u w:val="single"/>
              </w:rPr>
            </w:pPr>
            <w:r w:rsidRPr="006E068F">
              <w:rPr>
                <w:b/>
                <w:u w:val="single"/>
              </w:rPr>
              <w:t>Expérience demandée</w:t>
            </w:r>
            <w:r w:rsidR="00FA558F" w:rsidRPr="006E068F">
              <w:rPr>
                <w:b/>
                <w:u w:val="single"/>
              </w:rPr>
              <w:t> :</w:t>
            </w:r>
          </w:p>
          <w:p w:rsidR="000F5FF2" w:rsidRDefault="00017FD7" w:rsidP="000F5FF2">
            <w:pPr>
              <w:pStyle w:val="Paragraphedeliste"/>
              <w:numPr>
                <w:ilvl w:val="0"/>
                <w:numId w:val="5"/>
              </w:numPr>
            </w:pPr>
            <w:r w:rsidRPr="00017FD7">
              <w:t>Expérience démontrée dans l’élaboration et la mise en œuvre</w:t>
            </w:r>
            <w:r w:rsidR="000F5FF2">
              <w:t xml:space="preserve"> de campagnes de communication, en communication de proximité et en gestion de projets.</w:t>
            </w:r>
          </w:p>
          <w:p w:rsidR="00017FD7" w:rsidRDefault="00900352" w:rsidP="000F5FF2">
            <w:pPr>
              <w:pStyle w:val="Paragraphedeliste"/>
              <w:numPr>
                <w:ilvl w:val="0"/>
                <w:numId w:val="5"/>
              </w:numPr>
            </w:pPr>
            <w:r>
              <w:t>Bonne</w:t>
            </w:r>
            <w:r w:rsidR="00BB0FDF">
              <w:t>s</w:t>
            </w:r>
            <w:r>
              <w:t xml:space="preserve"> connaissances des canaux médiatiques</w:t>
            </w:r>
            <w:r w:rsidR="00017FD7" w:rsidRPr="00017FD7">
              <w:t xml:space="preserve"> de communication</w:t>
            </w:r>
            <w:r>
              <w:t> : réseaux sociaux</w:t>
            </w:r>
            <w:r w:rsidR="00017FD7" w:rsidRPr="00017FD7">
              <w:t xml:space="preserve"> </w:t>
            </w:r>
            <w:r>
              <w:t>outils de marketing numérique, agences de communication.</w:t>
            </w:r>
          </w:p>
          <w:p w:rsidR="002F7AF2" w:rsidRDefault="002F7AF2" w:rsidP="002F7AF2">
            <w:pPr>
              <w:pStyle w:val="Paragraphedeliste"/>
              <w:numPr>
                <w:ilvl w:val="0"/>
                <w:numId w:val="5"/>
              </w:numPr>
            </w:pPr>
            <w:r w:rsidRPr="002F7AF2">
              <w:t xml:space="preserve">Solide </w:t>
            </w:r>
            <w:r>
              <w:t>expérience</w:t>
            </w:r>
            <w:r w:rsidRPr="002F7AF2">
              <w:t xml:space="preserve"> de la gestion des agences de marketing et de communication </w:t>
            </w:r>
            <w:r>
              <w:t>externes.</w:t>
            </w:r>
          </w:p>
          <w:p w:rsidR="000F5FF2" w:rsidRDefault="000F5FF2" w:rsidP="002F7AF2">
            <w:pPr>
              <w:pStyle w:val="Paragraphedeliste"/>
              <w:numPr>
                <w:ilvl w:val="0"/>
                <w:numId w:val="5"/>
              </w:numPr>
            </w:pPr>
            <w:r>
              <w:t>Expérience en management d’équipe et animation.</w:t>
            </w:r>
          </w:p>
          <w:p w:rsidR="002F7AF2" w:rsidRPr="002F7AF2" w:rsidRDefault="002F7AF2" w:rsidP="002F7AF2">
            <w:pPr>
              <w:pStyle w:val="Paragraphedeliste"/>
              <w:numPr>
                <w:ilvl w:val="0"/>
                <w:numId w:val="5"/>
              </w:numPr>
            </w:pPr>
            <w:r>
              <w:rPr>
                <w:rFonts w:cs="Arial"/>
              </w:rPr>
              <w:t>Aptitudes démontrées</w:t>
            </w:r>
            <w:r w:rsidRPr="002F7AF2">
              <w:rPr>
                <w:rFonts w:cs="Arial"/>
              </w:rPr>
              <w:t xml:space="preserve"> à influencer efficacement, </w:t>
            </w:r>
            <w:r>
              <w:rPr>
                <w:rFonts w:cs="Arial"/>
              </w:rPr>
              <w:t>à</w:t>
            </w:r>
            <w:r w:rsidRPr="002F7AF2">
              <w:rPr>
                <w:rFonts w:cs="Arial"/>
              </w:rPr>
              <w:t xml:space="preserve"> collaborer et </w:t>
            </w:r>
            <w:r>
              <w:rPr>
                <w:rFonts w:cs="Arial"/>
              </w:rPr>
              <w:t xml:space="preserve">à négocier les résultats </w:t>
            </w:r>
            <w:r w:rsidRPr="002F7AF2">
              <w:rPr>
                <w:rFonts w:cs="Arial"/>
              </w:rPr>
              <w:t>avec un éventail d’intervenants (internes et externes), d</w:t>
            </w:r>
            <w:r>
              <w:rPr>
                <w:rFonts w:cs="Arial"/>
              </w:rPr>
              <w:t>e</w:t>
            </w:r>
            <w:r w:rsidRPr="002F7AF2">
              <w:rPr>
                <w:rFonts w:cs="Arial"/>
              </w:rPr>
              <w:t xml:space="preserve"> manière professionnelle</w:t>
            </w:r>
          </w:p>
          <w:p w:rsidR="002F7AF2" w:rsidRDefault="002F7AF2" w:rsidP="002F7AF2">
            <w:pPr>
              <w:pStyle w:val="Paragraphedeliste"/>
              <w:numPr>
                <w:ilvl w:val="0"/>
                <w:numId w:val="5"/>
              </w:numPr>
            </w:pPr>
            <w:r>
              <w:t>Connaissance et expérience du contexte social, sociétal, culturel calédonien.</w:t>
            </w:r>
          </w:p>
          <w:p w:rsidR="000F5FF2" w:rsidRDefault="000F5FF2" w:rsidP="000F5FF2">
            <w:pPr>
              <w:ind w:left="360"/>
            </w:pPr>
          </w:p>
          <w:p w:rsidR="00900352" w:rsidRDefault="00900352" w:rsidP="00900352">
            <w:pPr>
              <w:pStyle w:val="Paragraphedeliste"/>
            </w:pPr>
          </w:p>
          <w:p w:rsidR="002F26B2" w:rsidRPr="00900352" w:rsidRDefault="002F26B2" w:rsidP="00900352">
            <w:pPr>
              <w:rPr>
                <w:b/>
                <w:u w:val="single"/>
              </w:rPr>
            </w:pPr>
            <w:r w:rsidRPr="00900352">
              <w:rPr>
                <w:b/>
                <w:u w:val="single"/>
              </w:rPr>
              <w:t>Savoir-faire :</w:t>
            </w:r>
          </w:p>
          <w:p w:rsidR="000F5FF2" w:rsidRDefault="000F5FF2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Diriger une </w:t>
            </w:r>
            <w:r w:rsidRPr="00017FD7">
              <w:t>équipe</w:t>
            </w:r>
            <w:r>
              <w:t xml:space="preserve"> en charge de l’engagement communautaire </w:t>
            </w:r>
            <w:r w:rsidRPr="00017FD7">
              <w:t xml:space="preserve"> </w:t>
            </w:r>
          </w:p>
          <w:p w:rsidR="000F5FF2" w:rsidRDefault="000F5FF2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017FD7">
              <w:t>Guide</w:t>
            </w:r>
            <w:r>
              <w:t>r et</w:t>
            </w:r>
            <w:r w:rsidRPr="00017FD7">
              <w:t xml:space="preserve"> former </w:t>
            </w:r>
            <w:r>
              <w:t>les équipes du</w:t>
            </w:r>
            <w:r w:rsidRPr="00017FD7">
              <w:t xml:space="preserve"> projet et les prestataires extérieurs interagissant avec les communautés, afin d’assurer la cohérence et la quali</w:t>
            </w:r>
            <w:r>
              <w:t xml:space="preserve">té des messages </w:t>
            </w:r>
            <w:r w:rsidRPr="00017FD7">
              <w:t xml:space="preserve">avec </w:t>
            </w:r>
            <w:r>
              <w:t>les objectifs du projet</w:t>
            </w:r>
            <w:r w:rsidRPr="00017FD7">
              <w:t xml:space="preserve"> </w:t>
            </w:r>
          </w:p>
          <w:p w:rsidR="002F072E" w:rsidRDefault="002F072E" w:rsidP="002F072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E</w:t>
            </w:r>
            <w:r w:rsidRPr="00017FD7">
              <w:t>tablir et gérer un groupe de référence communautaire pour le projet</w:t>
            </w:r>
          </w:p>
          <w:p w:rsidR="00B85BA5" w:rsidRDefault="00017FD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017FD7">
              <w:t>Développer et gérer la mise en œuvre d’une chaîne de plusieurs</w:t>
            </w:r>
            <w:r w:rsidR="00B85BA5">
              <w:t xml:space="preserve"> acteurs en</w:t>
            </w:r>
            <w:r w:rsidRPr="00017FD7">
              <w:t xml:space="preserve"> communication et</w:t>
            </w:r>
            <w:r w:rsidR="00B85BA5">
              <w:t xml:space="preserve"> en</w:t>
            </w:r>
            <w:r w:rsidRPr="00017FD7">
              <w:t xml:space="preserve"> engagement </w:t>
            </w:r>
            <w:r w:rsidR="00B85BA5">
              <w:t xml:space="preserve">communautaire </w:t>
            </w:r>
          </w:p>
          <w:p w:rsidR="002F072E" w:rsidRDefault="002F072E" w:rsidP="002F072E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Orienter </w:t>
            </w:r>
            <w:r w:rsidRPr="00017FD7">
              <w:t xml:space="preserve">des conseils stratégiques, </w:t>
            </w:r>
            <w:r>
              <w:t xml:space="preserve">de </w:t>
            </w:r>
            <w:r w:rsidRPr="00017FD7">
              <w:t xml:space="preserve">marketing et </w:t>
            </w:r>
            <w:r>
              <w:t xml:space="preserve">de </w:t>
            </w:r>
            <w:r w:rsidRPr="00017FD7">
              <w:t>communication et aid</w:t>
            </w:r>
            <w:r>
              <w:t>er à obtenir un soutien externe.</w:t>
            </w:r>
          </w:p>
          <w:p w:rsidR="002F072E" w:rsidRDefault="002F072E" w:rsidP="002F072E">
            <w:pPr>
              <w:pStyle w:val="Paragraphedeliste"/>
              <w:numPr>
                <w:ilvl w:val="0"/>
                <w:numId w:val="5"/>
              </w:numPr>
            </w:pPr>
            <w:r>
              <w:t>Savoir définir et suivre les objectifs</w:t>
            </w:r>
            <w:r w:rsidRPr="00017FD7">
              <w:t xml:space="preserve">, identifier les </w:t>
            </w:r>
            <w:r>
              <w:t>partenaires à associer en engagement communautaire</w:t>
            </w:r>
            <w:r w:rsidRPr="00017FD7">
              <w:t xml:space="preserve">, </w:t>
            </w:r>
            <w:r>
              <w:t>savoir planifier les tâches et organiser les ressources</w:t>
            </w:r>
            <w:r w:rsidRPr="00017FD7">
              <w:t xml:space="preserve">, </w:t>
            </w:r>
            <w:r>
              <w:t xml:space="preserve">développer des </w:t>
            </w:r>
            <w:r w:rsidRPr="00017FD7">
              <w:t>procédures pour suivre les progrès</w:t>
            </w:r>
            <w:r>
              <w:t xml:space="preserve"> de l’engagement communautaire</w:t>
            </w:r>
            <w:r w:rsidRPr="00017FD7">
              <w:t xml:space="preserve"> et </w:t>
            </w:r>
            <w:r>
              <w:t xml:space="preserve">le </w:t>
            </w:r>
            <w:r w:rsidRPr="00017FD7">
              <w:t>budg</w:t>
            </w:r>
            <w:r>
              <w:t>et.</w:t>
            </w:r>
          </w:p>
          <w:p w:rsidR="002F072E" w:rsidRDefault="002F072E" w:rsidP="002F072E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017FD7">
              <w:t>Recruter</w:t>
            </w:r>
            <w:r>
              <w:t xml:space="preserve"> et gérer une a</w:t>
            </w:r>
            <w:r w:rsidRPr="00017FD7">
              <w:t>gence de marketing et de communication externe</w:t>
            </w:r>
            <w:r>
              <w:t xml:space="preserve"> qui doivent fournir des études de marché de qualité</w:t>
            </w:r>
            <w:r w:rsidRPr="00017FD7">
              <w:t xml:space="preserve"> </w:t>
            </w:r>
            <w:r>
              <w:t>afin de</w:t>
            </w:r>
            <w:r w:rsidRPr="00017FD7">
              <w:t xml:space="preserve"> garantir l’efficacité de la campagne et identifier les opportunités potentielles</w:t>
            </w:r>
          </w:p>
          <w:p w:rsidR="00017FD7" w:rsidRDefault="00B85BA5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 xml:space="preserve">Mettre en place une </w:t>
            </w:r>
            <w:r w:rsidR="00017FD7" w:rsidRPr="00017FD7">
              <w:t xml:space="preserve">stratégie de campagne adaptées au contexte local et alignée sur les objectifs du projet </w:t>
            </w:r>
          </w:p>
          <w:p w:rsidR="000F5FF2" w:rsidRDefault="000F5FF2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017FD7">
              <w:t xml:space="preserve">Mener une série d’initiatives de marketing et de communication dans le cadre de la campagne, y compris les médias et les </w:t>
            </w:r>
            <w:r>
              <w:t>réseaux</w:t>
            </w:r>
            <w:r w:rsidRPr="00017FD7">
              <w:t xml:space="preserve"> sociaux, </w:t>
            </w:r>
            <w:r>
              <w:t>la communication de proximité</w:t>
            </w:r>
            <w:r w:rsidRPr="00017FD7">
              <w:t xml:space="preserve"> et </w:t>
            </w:r>
            <w:r>
              <w:t>en extérieur</w:t>
            </w:r>
            <w:r w:rsidRPr="00017FD7">
              <w:t xml:space="preserve"> </w:t>
            </w:r>
          </w:p>
          <w:p w:rsidR="000F5FF2" w:rsidRDefault="000F5FF2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017FD7">
              <w:t>Établir et gérer un système de gestion</w:t>
            </w:r>
            <w:r>
              <w:t xml:space="preserve"> de questions pour le projet </w:t>
            </w:r>
          </w:p>
          <w:p w:rsidR="007844E6" w:rsidRDefault="00B85BA5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017FD7">
              <w:t>Construire</w:t>
            </w:r>
            <w:r>
              <w:t xml:space="preserve"> et maintenir </w:t>
            </w:r>
            <w:r w:rsidR="00017FD7" w:rsidRPr="00017FD7">
              <w:t xml:space="preserve">des relations solides avec un éventail d’intervenants internes et externes, y compris les </w:t>
            </w:r>
            <w:r w:rsidR="000F5FF2">
              <w:t xml:space="preserve">responsables </w:t>
            </w:r>
            <w:r w:rsidR="00017FD7" w:rsidRPr="00017FD7">
              <w:t xml:space="preserve">locaux, </w:t>
            </w:r>
            <w:r w:rsidR="000F5FF2">
              <w:t xml:space="preserve">les associations </w:t>
            </w:r>
            <w:r w:rsidR="00017FD7" w:rsidRPr="00017FD7">
              <w:t>et les organisations à but non lucratif</w:t>
            </w:r>
            <w:r>
              <w:t xml:space="preserve">.  </w:t>
            </w:r>
          </w:p>
          <w:p w:rsidR="00017FD7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Analyser</w:t>
            </w:r>
            <w:r w:rsidR="00017FD7" w:rsidRPr="00017FD7">
              <w:t xml:space="preserve"> et rendre compte</w:t>
            </w:r>
            <w:r>
              <w:t xml:space="preserve"> régulièrement au </w:t>
            </w:r>
            <w:r w:rsidR="00EB24D2">
              <w:t>c</w:t>
            </w:r>
            <w:r>
              <w:t>hef de projet de</w:t>
            </w:r>
            <w:r w:rsidR="00017FD7" w:rsidRPr="00017FD7">
              <w:t xml:space="preserve"> la performance de la campagne </w:t>
            </w:r>
            <w:r>
              <w:t>par rapport aux objectifs et aux indicateurs clés du modèle d’</w:t>
            </w:r>
            <w:r w:rsidR="00017FD7" w:rsidRPr="00017FD7">
              <w:t>a</w:t>
            </w:r>
            <w:r>
              <w:t>cceptation du</w:t>
            </w:r>
            <w:r w:rsidR="00017FD7" w:rsidRPr="00017FD7">
              <w:t xml:space="preserve"> public.</w:t>
            </w:r>
          </w:p>
          <w:p w:rsidR="002F26B2" w:rsidRDefault="002F26B2" w:rsidP="002F265E">
            <w:pPr>
              <w:jc w:val="both"/>
            </w:pPr>
          </w:p>
          <w:p w:rsidR="002F26B2" w:rsidRPr="002F265E" w:rsidRDefault="002F26B2" w:rsidP="002F265E">
            <w:pPr>
              <w:jc w:val="both"/>
              <w:rPr>
                <w:b/>
                <w:u w:val="single"/>
              </w:rPr>
            </w:pPr>
            <w:r w:rsidRPr="002F265E">
              <w:rPr>
                <w:b/>
                <w:u w:val="single"/>
              </w:rPr>
              <w:t>Savoir-être :</w:t>
            </w:r>
          </w:p>
          <w:p w:rsidR="000E3CB7" w:rsidRDefault="000E3CB7" w:rsidP="000F5FF2">
            <w:pPr>
              <w:pStyle w:val="Paragraphedeliste"/>
              <w:numPr>
                <w:ilvl w:val="0"/>
                <w:numId w:val="5"/>
              </w:numPr>
            </w:pPr>
            <w:r w:rsidRPr="000E3CB7">
              <w:t>Aisance relationnelle (aptitudes à dynamiser le travail avec les partenaires et acteurs locaux, aisance dans la prise de parole, diplomatie).</w:t>
            </w:r>
          </w:p>
          <w:p w:rsidR="000E3CB7" w:rsidRPr="000E3CB7" w:rsidRDefault="000E3CB7" w:rsidP="000F5FF2">
            <w:pPr>
              <w:pStyle w:val="Paragraphedeliste"/>
              <w:numPr>
                <w:ilvl w:val="0"/>
                <w:numId w:val="5"/>
              </w:numPr>
            </w:pPr>
            <w:r>
              <w:t>Excellente capacité de rédaction et de communication.</w:t>
            </w:r>
          </w:p>
          <w:p w:rsidR="000E3CB7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Autonomie, sens des responsabilités, discrétion, confidentialité, sens de l’engagement.</w:t>
            </w:r>
          </w:p>
          <w:p w:rsidR="000E3CB7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Capacité d’adaptation, créativité, polyvalence.</w:t>
            </w:r>
          </w:p>
          <w:p w:rsidR="000E3CB7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Sens de l’organisation, rigueur, réactivité.</w:t>
            </w:r>
          </w:p>
          <w:p w:rsidR="000E3CB7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Disponibilité, gestion du stress.</w:t>
            </w:r>
          </w:p>
          <w:p w:rsidR="004D3D7C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Maîtrise du pack Office.</w:t>
            </w:r>
          </w:p>
          <w:p w:rsidR="000E3CB7" w:rsidRDefault="000E3CB7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Grand intérêt pour l’engagement communautaire.</w:t>
            </w:r>
          </w:p>
          <w:p w:rsidR="000F5FF2" w:rsidRPr="00900352" w:rsidRDefault="000F5FF2" w:rsidP="000F5FF2">
            <w:pPr>
              <w:pStyle w:val="Paragraphedeliste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Forte</w:t>
            </w:r>
            <w:r w:rsidR="00BB0FDF">
              <w:t>s</w:t>
            </w:r>
            <w:r>
              <w:t xml:space="preserve"> capacités à fédérer et faire adhérer les communautés au projet. </w:t>
            </w:r>
          </w:p>
          <w:p w:rsidR="007844E6" w:rsidRDefault="007844E6" w:rsidP="000F5FF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Forte aptitude à la négociation.</w:t>
            </w:r>
          </w:p>
        </w:tc>
      </w:tr>
      <w:tr w:rsidR="00D72AA6" w:rsidTr="003E55F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AA6" w:rsidRDefault="00D72AA6" w:rsidP="00D72AA6">
            <w:pPr>
              <w:jc w:val="both"/>
            </w:pPr>
            <w:r>
              <w:t>Liens hiérarchiques particuliers à ce programme</w:t>
            </w:r>
          </w:p>
        </w:tc>
      </w:tr>
      <w:tr w:rsidR="00D72AA6" w:rsidTr="004D3D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A6" w:rsidRDefault="00D72AA6" w:rsidP="00C16F21">
            <w:pPr>
              <w:ind w:left="426"/>
              <w:jc w:val="both"/>
            </w:pPr>
            <w:r>
              <w:t xml:space="preserve">Sous la responsabilité administrative du directeur de l’Institut Pasteur de Nouvelle-Calédonie, </w:t>
            </w:r>
            <w:r w:rsidR="000E3CB7">
              <w:t xml:space="preserve">et du </w:t>
            </w:r>
            <w:r w:rsidR="00F63585">
              <w:t>c</w:t>
            </w:r>
            <w:r w:rsidR="00156C91">
              <w:t>hef</w:t>
            </w:r>
            <w:r w:rsidR="00214B6C">
              <w:t xml:space="preserve"> </w:t>
            </w:r>
            <w:r>
              <w:t>de</w:t>
            </w:r>
            <w:r w:rsidRPr="00610042">
              <w:t xml:space="preserve"> projet</w:t>
            </w:r>
            <w:r w:rsidR="000E3CB7">
              <w:t xml:space="preserve">, le </w:t>
            </w:r>
            <w:r w:rsidR="00EB24D2">
              <w:t>r</w:t>
            </w:r>
            <w:r w:rsidR="000E3CB7">
              <w:t xml:space="preserve">esponsable de </w:t>
            </w:r>
            <w:r w:rsidR="00EB24D2">
              <w:t xml:space="preserve">la communication et de </w:t>
            </w:r>
            <w:r w:rsidR="000E3CB7">
              <w:t xml:space="preserve">l’engagement communautaire </w:t>
            </w:r>
            <w:r w:rsidRPr="00ED516B">
              <w:t xml:space="preserve">rendra compte régulièrement </w:t>
            </w:r>
            <w:r w:rsidR="000E3CB7">
              <w:t xml:space="preserve">au </w:t>
            </w:r>
            <w:r w:rsidR="00EB24D2">
              <w:t>c</w:t>
            </w:r>
            <w:r w:rsidR="000E3CB7">
              <w:t>hef de projet de la planification, des avancées</w:t>
            </w:r>
            <w:r w:rsidR="00BB0FDF">
              <w:t xml:space="preserve"> dans ce domaine</w:t>
            </w:r>
            <w:r w:rsidR="000E3CB7">
              <w:t>, des difficultés</w:t>
            </w:r>
            <w:r w:rsidR="00410EC4">
              <w:t xml:space="preserve"> relatives à l’engagement communautaire.</w:t>
            </w:r>
            <w:r w:rsidR="000E3CB7">
              <w:t xml:space="preserve"> </w:t>
            </w:r>
            <w:r>
              <w:t xml:space="preserve"> </w:t>
            </w:r>
          </w:p>
          <w:p w:rsidR="00D72AA6" w:rsidRDefault="00D72AA6" w:rsidP="007844E6">
            <w:pPr>
              <w:ind w:left="426"/>
              <w:jc w:val="both"/>
            </w:pPr>
            <w:r>
              <w:t xml:space="preserve">Il ne pourra en aucune manière être sollicité pour une autre activité que celle qui concerne le WMP-Nouméa pour lequel il aura été recruté. </w:t>
            </w:r>
          </w:p>
        </w:tc>
      </w:tr>
      <w:tr w:rsidR="004D3D7C" w:rsidTr="004D3D7C">
        <w:trPr>
          <w:trHeight w:val="4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3D7C" w:rsidRDefault="004D3D7C">
            <w:r>
              <w:t>Candidature</w:t>
            </w:r>
          </w:p>
        </w:tc>
      </w:tr>
      <w:tr w:rsidR="004D3D7C" w:rsidTr="004D3D7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7C" w:rsidRDefault="004D3D7C" w:rsidP="006E068F">
            <w:pPr>
              <w:pStyle w:val="Paragraphedeliste"/>
              <w:numPr>
                <w:ilvl w:val="0"/>
                <w:numId w:val="3"/>
              </w:numPr>
              <w:ind w:right="42"/>
              <w:jc w:val="both"/>
              <w:rPr>
                <w:rFonts w:cs="Arial"/>
              </w:rPr>
            </w:pPr>
            <w:r>
              <w:rPr>
                <w:rFonts w:cs="Arial"/>
              </w:rPr>
              <w:t>Lettre de motivation</w:t>
            </w:r>
            <w:r w:rsidR="00ED516B">
              <w:rPr>
                <w:rFonts w:cs="Arial"/>
              </w:rPr>
              <w:t>, lettres de recommandations (2)</w:t>
            </w:r>
            <w:r>
              <w:rPr>
                <w:rFonts w:cs="Arial"/>
              </w:rPr>
              <w:t xml:space="preserve"> et Curriculum Vitae à adresser au format pdf par e-mail</w:t>
            </w:r>
            <w:r w:rsidR="007D4A16">
              <w:rPr>
                <w:rFonts w:cs="Arial"/>
              </w:rPr>
              <w:t>.</w:t>
            </w:r>
            <w:r w:rsidR="00156C91">
              <w:t xml:space="preserve"> </w:t>
            </w:r>
            <w:r w:rsidR="00156C91" w:rsidRPr="00156C91">
              <w:rPr>
                <w:rFonts w:cs="Arial"/>
              </w:rPr>
              <w:t>Documents à fournir en anglais et en français</w:t>
            </w:r>
            <w:r w:rsidR="00156C91">
              <w:rPr>
                <w:rFonts w:cs="Arial"/>
              </w:rPr>
              <w:t>.</w:t>
            </w:r>
          </w:p>
          <w:p w:rsidR="004D3D7C" w:rsidRDefault="004D3D7C" w:rsidP="006E068F">
            <w:pPr>
              <w:pStyle w:val="Paragraphedeliste"/>
              <w:numPr>
                <w:ilvl w:val="0"/>
                <w:numId w:val="3"/>
              </w:numPr>
              <w:ind w:right="42"/>
              <w:jc w:val="both"/>
              <w:rPr>
                <w:rFonts w:cs="Arial"/>
              </w:rPr>
            </w:pPr>
            <w:r>
              <w:rPr>
                <w:rFonts w:cs="Arial"/>
              </w:rPr>
              <w:t>Date limite de dépôt des candidatures </w:t>
            </w:r>
            <w:r w:rsidRPr="00671F48">
              <w:rPr>
                <w:rFonts w:cs="Arial"/>
              </w:rPr>
              <w:t xml:space="preserve">: </w:t>
            </w:r>
            <w:r w:rsidR="00671F48" w:rsidRPr="00671F48">
              <w:rPr>
                <w:rFonts w:cs="Arial"/>
              </w:rPr>
              <w:t>31</w:t>
            </w:r>
            <w:r w:rsidR="00D72AA6" w:rsidRPr="00671F48">
              <w:rPr>
                <w:rFonts w:cs="Arial"/>
              </w:rPr>
              <w:t>/</w:t>
            </w:r>
            <w:r w:rsidR="00671F48" w:rsidRPr="00671F48">
              <w:rPr>
                <w:rFonts w:cs="Arial"/>
              </w:rPr>
              <w:t>08</w:t>
            </w:r>
            <w:r w:rsidR="00D72AA6" w:rsidRPr="00671F48">
              <w:rPr>
                <w:rFonts w:cs="Arial"/>
              </w:rPr>
              <w:t>/2018</w:t>
            </w:r>
            <w:r w:rsidR="00675167">
              <w:rPr>
                <w:rFonts w:cs="Arial"/>
              </w:rPr>
              <w:t>.</w:t>
            </w:r>
          </w:p>
          <w:p w:rsidR="004D3D7C" w:rsidRPr="00A146C2" w:rsidRDefault="004D3D7C" w:rsidP="00671F48">
            <w:pPr>
              <w:pStyle w:val="Paragraphedeliste"/>
              <w:numPr>
                <w:ilvl w:val="0"/>
                <w:numId w:val="3"/>
              </w:numPr>
              <w:rPr>
                <w:rFonts w:cs="Arial"/>
              </w:rPr>
            </w:pPr>
            <w:r w:rsidRPr="00EB24D2">
              <w:rPr>
                <w:rFonts w:cs="Arial"/>
              </w:rPr>
              <w:t xml:space="preserve">Destinataires : </w:t>
            </w:r>
            <w:hyperlink r:id="rId9" w:history="1">
              <w:r w:rsidR="0081486B" w:rsidRPr="00EB24D2">
                <w:rPr>
                  <w:rStyle w:val="Lienhypertexte"/>
                  <w:rFonts w:cs="Arial"/>
                </w:rPr>
                <w:t>justine.lisiak@worldmosquito.org</w:t>
              </w:r>
            </w:hyperlink>
            <w:r w:rsidR="0081486B" w:rsidRPr="00EB24D2">
              <w:rPr>
                <w:rFonts w:cs="Arial"/>
              </w:rPr>
              <w:t xml:space="preserve">, </w:t>
            </w:r>
            <w:r w:rsidR="00EB24D2" w:rsidRPr="00EB24D2">
              <w:rPr>
                <w:rFonts w:cs="Arial"/>
              </w:rPr>
              <w:t xml:space="preserve">florie.cheilan@worldmosquito.org, vincent.richard@worldmosquito.org    </w:t>
            </w:r>
            <w:r w:rsidRPr="00A146C2">
              <w:rPr>
                <w:rFonts w:cs="Arial"/>
              </w:rPr>
              <w:t xml:space="preserve">             </w:t>
            </w:r>
          </w:p>
        </w:tc>
      </w:tr>
    </w:tbl>
    <w:p w:rsidR="004D3D7C" w:rsidRDefault="004D3D7C" w:rsidP="00610042">
      <w:pPr>
        <w:jc w:val="center"/>
        <w:rPr>
          <w:b/>
          <w:sz w:val="28"/>
        </w:rPr>
      </w:pPr>
    </w:p>
    <w:p w:rsidR="004D3D7C" w:rsidRPr="00610042" w:rsidRDefault="004D3D7C" w:rsidP="00610042">
      <w:pPr>
        <w:jc w:val="center"/>
        <w:rPr>
          <w:b/>
          <w:sz w:val="28"/>
        </w:rPr>
      </w:pPr>
    </w:p>
    <w:p w:rsidR="00610042" w:rsidRDefault="00610042"/>
    <w:sectPr w:rsidR="0061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B3" w:rsidRDefault="00F320B3" w:rsidP="00054F5B">
      <w:pPr>
        <w:spacing w:after="0" w:line="240" w:lineRule="auto"/>
      </w:pPr>
      <w:r>
        <w:separator/>
      </w:r>
    </w:p>
  </w:endnote>
  <w:endnote w:type="continuationSeparator" w:id="0">
    <w:p w:rsidR="00F320B3" w:rsidRDefault="00F320B3" w:rsidP="0005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B3" w:rsidRDefault="00F320B3" w:rsidP="00054F5B">
      <w:pPr>
        <w:spacing w:after="0" w:line="240" w:lineRule="auto"/>
      </w:pPr>
      <w:r>
        <w:separator/>
      </w:r>
    </w:p>
  </w:footnote>
  <w:footnote w:type="continuationSeparator" w:id="0">
    <w:p w:rsidR="00F320B3" w:rsidRDefault="00F320B3" w:rsidP="0005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37A"/>
    <w:multiLevelType w:val="hybridMultilevel"/>
    <w:tmpl w:val="E3C22C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548A7"/>
    <w:multiLevelType w:val="hybridMultilevel"/>
    <w:tmpl w:val="F4D66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63C3"/>
    <w:multiLevelType w:val="hybridMultilevel"/>
    <w:tmpl w:val="9658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529C"/>
    <w:multiLevelType w:val="hybridMultilevel"/>
    <w:tmpl w:val="BEECE986"/>
    <w:lvl w:ilvl="0" w:tplc="C64E51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7320B"/>
    <w:multiLevelType w:val="hybridMultilevel"/>
    <w:tmpl w:val="14704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40E5"/>
    <w:multiLevelType w:val="hybridMultilevel"/>
    <w:tmpl w:val="145A06BA"/>
    <w:lvl w:ilvl="0" w:tplc="C64E5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3CEA"/>
    <w:multiLevelType w:val="hybridMultilevel"/>
    <w:tmpl w:val="E0B4D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6EE5"/>
    <w:multiLevelType w:val="hybridMultilevel"/>
    <w:tmpl w:val="147C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96DBD"/>
    <w:multiLevelType w:val="hybridMultilevel"/>
    <w:tmpl w:val="5664B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2"/>
    <w:rsid w:val="00017FD7"/>
    <w:rsid w:val="00054C93"/>
    <w:rsid w:val="00054F5B"/>
    <w:rsid w:val="000E3CB7"/>
    <w:rsid w:val="000F5FF2"/>
    <w:rsid w:val="0011096A"/>
    <w:rsid w:val="0014157A"/>
    <w:rsid w:val="0014416E"/>
    <w:rsid w:val="00156C91"/>
    <w:rsid w:val="0019792D"/>
    <w:rsid w:val="001F31CF"/>
    <w:rsid w:val="00214B6C"/>
    <w:rsid w:val="00283028"/>
    <w:rsid w:val="002A1FAB"/>
    <w:rsid w:val="002E3286"/>
    <w:rsid w:val="002F072E"/>
    <w:rsid w:val="002F265E"/>
    <w:rsid w:val="002F26B2"/>
    <w:rsid w:val="002F7AF2"/>
    <w:rsid w:val="003258E1"/>
    <w:rsid w:val="00330E82"/>
    <w:rsid w:val="00332E8C"/>
    <w:rsid w:val="00334B7C"/>
    <w:rsid w:val="003D10CA"/>
    <w:rsid w:val="003E55F5"/>
    <w:rsid w:val="00410EC4"/>
    <w:rsid w:val="004321D3"/>
    <w:rsid w:val="004A308B"/>
    <w:rsid w:val="004A43CC"/>
    <w:rsid w:val="004C0A1D"/>
    <w:rsid w:val="004D3D7C"/>
    <w:rsid w:val="004E16CD"/>
    <w:rsid w:val="00546090"/>
    <w:rsid w:val="00562D5D"/>
    <w:rsid w:val="00593CA7"/>
    <w:rsid w:val="005A4D7C"/>
    <w:rsid w:val="005B2D32"/>
    <w:rsid w:val="00610042"/>
    <w:rsid w:val="00671F48"/>
    <w:rsid w:val="00675167"/>
    <w:rsid w:val="006C22D8"/>
    <w:rsid w:val="006D3DD6"/>
    <w:rsid w:val="006E068F"/>
    <w:rsid w:val="006E16DB"/>
    <w:rsid w:val="007024A6"/>
    <w:rsid w:val="00712B6E"/>
    <w:rsid w:val="00770C6F"/>
    <w:rsid w:val="00781BB4"/>
    <w:rsid w:val="007844E6"/>
    <w:rsid w:val="007D3592"/>
    <w:rsid w:val="007D4A16"/>
    <w:rsid w:val="00806882"/>
    <w:rsid w:val="0081486B"/>
    <w:rsid w:val="0083316A"/>
    <w:rsid w:val="00895D80"/>
    <w:rsid w:val="008968A7"/>
    <w:rsid w:val="008F2CEE"/>
    <w:rsid w:val="00900352"/>
    <w:rsid w:val="0090717E"/>
    <w:rsid w:val="00913F7B"/>
    <w:rsid w:val="00937610"/>
    <w:rsid w:val="009544AB"/>
    <w:rsid w:val="009B720C"/>
    <w:rsid w:val="009C0F72"/>
    <w:rsid w:val="009D0773"/>
    <w:rsid w:val="009D713F"/>
    <w:rsid w:val="009E7418"/>
    <w:rsid w:val="00A018ED"/>
    <w:rsid w:val="00A1311A"/>
    <w:rsid w:val="00A146C2"/>
    <w:rsid w:val="00A415F3"/>
    <w:rsid w:val="00A50CDB"/>
    <w:rsid w:val="00AA4A15"/>
    <w:rsid w:val="00AF6638"/>
    <w:rsid w:val="00B245BB"/>
    <w:rsid w:val="00B5386E"/>
    <w:rsid w:val="00B70DF6"/>
    <w:rsid w:val="00B753C7"/>
    <w:rsid w:val="00B85BA5"/>
    <w:rsid w:val="00BB0FDF"/>
    <w:rsid w:val="00BB38B3"/>
    <w:rsid w:val="00C11A01"/>
    <w:rsid w:val="00C145D9"/>
    <w:rsid w:val="00C16F21"/>
    <w:rsid w:val="00C90EF9"/>
    <w:rsid w:val="00CE331B"/>
    <w:rsid w:val="00CE5096"/>
    <w:rsid w:val="00CF0F69"/>
    <w:rsid w:val="00D05377"/>
    <w:rsid w:val="00D4062A"/>
    <w:rsid w:val="00D640C3"/>
    <w:rsid w:val="00D710CD"/>
    <w:rsid w:val="00D72AA6"/>
    <w:rsid w:val="00DC43B6"/>
    <w:rsid w:val="00DD1185"/>
    <w:rsid w:val="00DD1A38"/>
    <w:rsid w:val="00DE1CFE"/>
    <w:rsid w:val="00DF0517"/>
    <w:rsid w:val="00DF45DF"/>
    <w:rsid w:val="00E022F5"/>
    <w:rsid w:val="00E10647"/>
    <w:rsid w:val="00E136AF"/>
    <w:rsid w:val="00E36A73"/>
    <w:rsid w:val="00E63531"/>
    <w:rsid w:val="00E6362C"/>
    <w:rsid w:val="00EB24D2"/>
    <w:rsid w:val="00ED516B"/>
    <w:rsid w:val="00EE4EEC"/>
    <w:rsid w:val="00F320B3"/>
    <w:rsid w:val="00F54113"/>
    <w:rsid w:val="00F63585"/>
    <w:rsid w:val="00F71A82"/>
    <w:rsid w:val="00F73BB9"/>
    <w:rsid w:val="00F756A0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45D0A"/>
  <w15:docId w15:val="{E10704BD-1F9D-43C1-B837-608FD8A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0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D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D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F5B"/>
  </w:style>
  <w:style w:type="paragraph" w:styleId="Pieddepage">
    <w:name w:val="footer"/>
    <w:basedOn w:val="Normal"/>
    <w:link w:val="PieddepageCar"/>
    <w:uiPriority w:val="99"/>
    <w:unhideWhenUsed/>
    <w:rsid w:val="0005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F5B"/>
  </w:style>
  <w:style w:type="character" w:styleId="Lienhypertexte">
    <w:name w:val="Hyperlink"/>
    <w:basedOn w:val="Policepardfaut"/>
    <w:uiPriority w:val="99"/>
    <w:unhideWhenUsed/>
    <w:rsid w:val="004D3D7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D3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979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79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79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79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7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ine.lisiak@worldmosquit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9536D-D3E5-42C0-9F32-A0F18F9B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Nouméa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WMP Noumea</dc:creator>
  <cp:lastModifiedBy>LISIAK justine</cp:lastModifiedBy>
  <cp:revision>2</cp:revision>
  <cp:lastPrinted>2018-07-30T00:13:00Z</cp:lastPrinted>
  <dcterms:created xsi:type="dcterms:W3CDTF">2018-07-30T00:13:00Z</dcterms:created>
  <dcterms:modified xsi:type="dcterms:W3CDTF">2018-07-30T00:13:00Z</dcterms:modified>
</cp:coreProperties>
</file>