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</w:rPr>
        <w:drawing>
          <wp:inline distB="114300" distT="114300" distL="114300" distR="114300">
            <wp:extent cx="6840000" cy="4064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left="0" w:firstLine="0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3.070866141734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et heure de l’entretien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2.0472440944889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de l’accusé réception de la demande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2.0472440944889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Lieu de la réunion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02.0472440944889" w:firstLine="0"/>
              <w:jc w:val="lef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bottom w:color="0b5394" w:space="0" w:sz="8" w:val="single"/>
        </w:pBdr>
        <w:spacing w:line="240" w:lineRule="auto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Entre l’agent :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3.070866141734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Nom, prénom :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Employeur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Direction ou service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Et l’employeur représenté par :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3.070866141734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Nom, prénom :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Fonction 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Assisté de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0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200"/>
        <w:gridCol w:w="1125"/>
        <w:gridCol w:w="2355"/>
        <w:gridCol w:w="1080"/>
        <w:gridCol w:w="2070"/>
        <w:tblGridChange w:id="0">
          <w:tblGrid>
            <w:gridCol w:w="4200"/>
            <w:gridCol w:w="1125"/>
            <w:gridCol w:w="2355"/>
            <w:gridCol w:w="1080"/>
            <w:gridCol w:w="20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Présence d’un conseiller :</w:t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02.0472440944889" w:hanging="360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Oui</w:t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right="702.0472440944889" w:hanging="360"/>
              <w:rPr>
                <w:rFonts w:ascii="Century Gothic" w:cs="Century Gothic" w:eastAsia="Century Gothic" w:hAnsi="Century Gothic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Non </w:t>
            </w:r>
          </w:p>
        </w:tc>
      </w:tr>
      <w:tr>
        <w:trPr>
          <w:cantSplit w:val="0"/>
          <w:trHeight w:val="313.38582677165357" w:hRule="atLeast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Si oui (nom, prénom, fonction) :</w:t>
            </w:r>
          </w:p>
        </w:tc>
        <w:tc>
          <w:tcPr>
            <w:gridSpan w:val="4"/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720" w:right="702.0472440944889" w:firstLine="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pBdr>
          <w:bottom w:color="0b5394" w:space="0" w:sz="8" w:val="single"/>
        </w:pBdr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Avis circonstancié du service employeur sur la demande (2)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 </w:t>
      </w:r>
    </w:p>
    <w:tbl>
      <w:tblPr>
        <w:tblStyle w:val="Table5"/>
        <w:tblW w:w="10050.0" w:type="dxa"/>
        <w:jc w:val="left"/>
        <w:tblInd w:w="43.08661417322835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770"/>
        <w:gridCol w:w="5280"/>
        <w:tblGridChange w:id="0">
          <w:tblGrid>
            <w:gridCol w:w="4770"/>
            <w:gridCol w:w="5280"/>
          </w:tblGrid>
        </w:tblGridChange>
      </w:tblGrid>
      <w:tr>
        <w:trPr>
          <w:cantSplit w:val="0"/>
          <w:trHeight w:val="158.99999999999997" w:hRule="atLeast"/>
          <w:tblHeader w:val="0"/>
        </w:trPr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Avis favorable :</w:t>
            </w:r>
          </w:p>
        </w:tc>
        <w:tc>
          <w:tcPr>
            <w:tcBorders>
              <w:top w:color="f3f3f3" w:space="0" w:sz="8" w:val="dotted"/>
              <w:left w:color="f3f3f3" w:space="0" w:sz="8" w:val="dotted"/>
              <w:bottom w:color="000000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keepNext w:val="1"/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❑ Oui   ❑ Non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Motivation : </w:t>
            </w:r>
          </w:p>
        </w:tc>
        <w:tc>
          <w:tcPr>
            <w:tcBorders>
              <w:top w:color="000000" w:space="0" w:sz="8" w:val="dotted"/>
              <w:left w:color="f3f3f3" w:space="0" w:sz="8" w:val="dotted"/>
              <w:bottom w:color="000000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dotted"/>
              <w:bottom w:color="000000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dotted"/>
              <w:bottom w:color="f3f3f3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dotted"/>
              <w:bottom w:color="000000" w:space="0" w:sz="8" w:val="dotted"/>
              <w:right w:color="f3f3f3" w:space="0" w:sz="8" w:val="dotted"/>
            </w:tcBorders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Dans le cas d’un avis favorable, il a été convenu d’une rupture conventionnelle aux motifs suivants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Subtitle"/>
        <w:keepNext w:val="0"/>
        <w:keepLines w:val="0"/>
        <w:spacing w:after="120" w:before="24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0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bottom w:color="0b5394" w:space="0" w:sz="8" w:val="single"/>
        </w:pBdr>
        <w:rPr>
          <w:rFonts w:ascii="Century Gothic" w:cs="Century Gothic" w:eastAsia="Century Gothic" w:hAnsi="Century Gothic"/>
          <w:color w:val="0b5394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b5394"/>
          <w:sz w:val="20"/>
          <w:szCs w:val="20"/>
          <w:rtl w:val="0"/>
        </w:rPr>
        <w:t xml:space="preserve">Échanges concernant la date de cessation des fonctions de l’agent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03.070866141734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Date envisagée (1) :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jj/mm/aaaa</w:t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20" w:before="12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Observations éventuelles de l'agent :</w:t>
      </w:r>
      <w:r w:rsidDel="00000000" w:rsidR="00000000" w:rsidRPr="00000000">
        <w:rPr>
          <w:rtl w:val="0"/>
        </w:rPr>
      </w:r>
    </w:p>
    <w:tbl>
      <w:tblPr>
        <w:tblStyle w:val="Table8"/>
        <w:tblW w:w="10770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120" w:before="120"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Observations éventuelles de l’employeur :</w:t>
      </w:r>
      <w:r w:rsidDel="00000000" w:rsidR="00000000" w:rsidRPr="00000000">
        <w:rPr>
          <w:rtl w:val="0"/>
        </w:rPr>
      </w:r>
    </w:p>
    <w:tbl>
      <w:tblPr>
        <w:tblStyle w:val="Table9"/>
        <w:tblW w:w="10770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Subtitle"/>
        <w:keepNext w:val="0"/>
        <w:keepLines w:val="0"/>
        <w:spacing w:after="0" w:before="0" w:line="240" w:lineRule="auto"/>
        <w:rPr>
          <w:rFonts w:ascii="Merriweather" w:cs="Merriweather" w:eastAsia="Merriweather" w:hAnsi="Merriweather"/>
          <w:b w:val="1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Échanges autour du montant de l’indemnité</w:t>
      </w:r>
    </w:p>
    <w:p w:rsidR="00000000" w:rsidDel="00000000" w:rsidP="00000000" w:rsidRDefault="00000000" w:rsidRPr="00000000" w14:paraId="00000059">
      <w:pPr>
        <w:pStyle w:val="Subtitle"/>
        <w:keepNext w:val="0"/>
        <w:keepLines w:val="0"/>
        <w:spacing w:after="0" w:before="0" w:line="240" w:lineRule="auto"/>
        <w:rPr>
          <w:rFonts w:ascii="Century Gothic" w:cs="Century Gothic" w:eastAsia="Century Gothic" w:hAnsi="Century Gothic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Les modalités de calcul des montants minimal et maximal de l'indemnité spécifique de rupture conventionnelle sont précisées dans la loi pays et la délibération cités en référence.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3.070866141734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4170"/>
        <w:gridCol w:w="6633.070866141733"/>
        <w:tblGridChange w:id="0">
          <w:tblGrid>
            <w:gridCol w:w="4170"/>
            <w:gridCol w:w="6633.07086614173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single"/>
              <w:left w:color="f3f3f3" w:space="0" w:sz="8" w:val="single"/>
              <w:bottom w:color="f3f3f3" w:space="0" w:sz="8" w:val="single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Montant envisagé de l’indemnité de rupture conventionnelle :</w:t>
            </w:r>
          </w:p>
        </w:tc>
        <w:tc>
          <w:tcPr>
            <w:tcBorders>
              <w:top w:color="f3f3f3" w:space="0" w:sz="8" w:val="single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Subtitle"/>
        <w:keepNext w:val="0"/>
        <w:keepLines w:val="0"/>
        <w:spacing w:after="0" w:before="0" w:line="240" w:lineRule="auto"/>
        <w:rPr>
          <w:rFonts w:ascii="Merriweather" w:cs="Merriweather" w:eastAsia="Merriweather" w:hAnsi="Merriweather"/>
          <w:b w:val="1"/>
          <w:color w:val="000000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color="0b5394" w:space="0" w:sz="8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0b5394"/>
          <w:sz w:val="20"/>
          <w:szCs w:val="20"/>
          <w:rtl w:val="0"/>
        </w:rPr>
        <w:t xml:space="preserve">Rappel des obligations réglementaires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80.0" w:type="dxa"/>
        <w:jc w:val="left"/>
        <w:tblInd w:w="56.69291338582678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1095"/>
        <w:gridCol w:w="9585"/>
        <w:tblGridChange w:id="0">
          <w:tblGrid>
            <w:gridCol w:w="1095"/>
            <w:gridCol w:w="9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702.0472440944889" w:hanging="360"/>
              <w:rPr>
                <w:rFonts w:ascii="Century Gothic" w:cs="Century Gothic" w:eastAsia="Century Gothic" w:hAnsi="Century Gothic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Obligation de ne pas être recruté dans le secteur public sous quelque forme que ce soit (contractuel, contrat de sous-traitance, de prestations,...).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right="702.0472440944889" w:hanging="360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L’agent est tenu à cette obligation durant une période de 6 ans et devra remplir une attestation sur l’honneur lors de toute embauche.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right="702.0472440944889" w:hanging="360"/>
              <w:rPr>
                <w:rFonts w:ascii="Century Gothic" w:cs="Century Gothic" w:eastAsia="Century Gothic" w:hAnsi="Century Gothic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8" w:val="dotted"/>
              <w:left w:color="f3f3f3" w:space="0" w:sz="8" w:val="single"/>
              <w:bottom w:color="000000" w:space="0" w:sz="8" w:val="dotted"/>
              <w:right w:color="f3f3f3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right="702.0472440944889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A défaut de respecter cette obligation, l’agent devra rembourser à son dernier employeur le montant de l’indemnité dans les deux ans qui suivent le recrutement</w:t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240" w:lineRule="auto"/>
        <w:jc w:val="both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both"/>
        <w:rPr>
          <w:rFonts w:ascii="Merriweather" w:cs="Merriweather" w:eastAsia="Merriweather" w:hAnsi="Merriweather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ind w:left="720" w:firstLine="0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Références : </w:t>
      </w:r>
    </w:p>
    <w:p w:rsidR="00000000" w:rsidDel="00000000" w:rsidP="00000000" w:rsidRDefault="00000000" w:rsidRPr="00000000" w14:paraId="00000070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Loi du pays n°2021-9 du 2 décembre 2021 portant création d’un dispositif de rupture conventionnelle dans la fonction publique</w:t>
      </w:r>
    </w:p>
    <w:p w:rsidR="00000000" w:rsidDel="00000000" w:rsidP="00000000" w:rsidRDefault="00000000" w:rsidRPr="00000000" w14:paraId="00000071">
      <w:pPr>
        <w:widowControl w:val="0"/>
        <w:numPr>
          <w:ilvl w:val="0"/>
          <w:numId w:val="2"/>
        </w:numPr>
        <w:spacing w:line="240" w:lineRule="auto"/>
        <w:ind w:left="720" w:hanging="360"/>
        <w:rPr>
          <w:rFonts w:ascii="Century Gothic" w:cs="Century Gothic" w:eastAsia="Century Gothic" w:hAnsi="Century Gothic"/>
          <w:sz w:val="16"/>
          <w:szCs w:val="16"/>
        </w:rPr>
      </w:pPr>
      <w:r w:rsidDel="00000000" w:rsidR="00000000" w:rsidRPr="00000000">
        <w:rPr>
          <w:rFonts w:ascii="Century Gothic" w:cs="Century Gothic" w:eastAsia="Century Gothic" w:hAnsi="Century Gothic"/>
          <w:sz w:val="16"/>
          <w:szCs w:val="16"/>
          <w:rtl w:val="0"/>
        </w:rPr>
        <w:t xml:space="preserve">Délibération n°201 du 27 décembre 2021 prise en application de la loi du pays n°2021-9 du 2 décembre 2021 portant création d’un dispositif de rupture conventionnelle dans la fonction publique</w:t>
      </w:r>
    </w:p>
    <w:sectPr>
      <w:headerReference r:id="rId8" w:type="default"/>
      <w:footerReference r:id="rId9" w:type="default"/>
      <w:pgSz w:h="16834" w:w="11909" w:orient="portrait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entury Gothic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rPr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12"/>
      <w:tblW w:w="10215.0" w:type="dxa"/>
      <w:jc w:val="left"/>
      <w:tblInd w:w="100.0" w:type="pct"/>
      <w:tblBorders>
        <w:top w:color="ffffff" w:space="0" w:sz="8" w:val="single"/>
        <w:left w:color="ffffff" w:space="0" w:sz="8" w:val="single"/>
        <w:bottom w:color="ffffff" w:space="0" w:sz="8" w:val="single"/>
        <w:right w:color="ffffff" w:space="0" w:sz="8" w:val="single"/>
        <w:insideH w:color="ffffff" w:space="0" w:sz="8" w:val="single"/>
        <w:insideV w:color="ffffff" w:space="0" w:sz="8" w:val="single"/>
      </w:tblBorders>
      <w:tblLayout w:type="fixed"/>
      <w:tblLook w:val="0600"/>
    </w:tblPr>
    <w:tblGrid>
      <w:gridCol w:w="3585"/>
      <w:gridCol w:w="6060"/>
      <w:gridCol w:w="570"/>
      <w:tblGridChange w:id="0">
        <w:tblGrid>
          <w:gridCol w:w="3585"/>
          <w:gridCol w:w="6060"/>
          <w:gridCol w:w="570"/>
        </w:tblGrid>
      </w:tblGridChange>
    </w:tblGrid>
    <w:tr>
      <w:trPr>
        <w:cantSplit w:val="0"/>
        <w:trHeight w:val="520" w:hRule="atLeast"/>
        <w:tblHeader w:val="0"/>
      </w:trPr>
      <w:tc>
        <w:tcPr>
          <w:vMerge w:val="restart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3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47627</wp:posOffset>
                </wp:positionH>
                <wp:positionV relativeFrom="paragraph">
                  <wp:posOffset>57152</wp:posOffset>
                </wp:positionV>
                <wp:extent cx="2054587" cy="468590"/>
                <wp:effectExtent b="0" l="0" r="0" t="0"/>
                <wp:wrapNone/>
                <wp:docPr id="3" name="image2.jpg"/>
                <a:graphic>
                  <a:graphicData uri="http://schemas.openxmlformats.org/drawingml/2006/picture">
                    <pic:pic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4587" cy="46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2"/>
          <w:shd w:fill="6fa8dc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4">
          <w:pPr>
            <w:widowControl w:val="0"/>
            <w:spacing w:line="240" w:lineRule="auto"/>
            <w:jc w:val="center"/>
            <w:rPr>
              <w:rFonts w:ascii="Merriweather" w:cs="Merriweather" w:eastAsia="Merriweather" w:hAnsi="Merriweather"/>
              <w:color w:val="efefef"/>
              <w:sz w:val="32"/>
              <w:szCs w:val="32"/>
            </w:rPr>
          </w:pPr>
          <w:r w:rsidDel="00000000" w:rsidR="00000000" w:rsidRPr="00000000">
            <w:rPr>
              <w:rFonts w:ascii="Merriweather" w:cs="Merriweather" w:eastAsia="Merriweather" w:hAnsi="Merriweather"/>
              <w:color w:val="efefef"/>
              <w:sz w:val="32"/>
              <w:szCs w:val="32"/>
              <w:rtl w:val="0"/>
            </w:rPr>
            <w:t xml:space="preserve">Rupture conventionnelle</w:t>
          </w:r>
        </w:p>
      </w:tc>
    </w:tr>
    <w:tr>
      <w:trPr>
        <w:cantSplit w:val="0"/>
        <w:trHeight w:val="420" w:hRule="atLeast"/>
        <w:tblHeader w:val="0"/>
      </w:trPr>
      <w:tc>
        <w:tcPr>
          <w:vMerge w:val="continue"/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6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Merriweather" w:cs="Merriweather" w:eastAsia="Merriweather" w:hAnsi="Merriweather"/>
              <w:color w:val="efefef"/>
              <w:sz w:val="32"/>
              <w:szCs w:val="3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7">
          <w:pPr>
            <w:widowControl w:val="0"/>
            <w:spacing w:line="240" w:lineRule="auto"/>
            <w:rPr>
              <w:rFonts w:ascii="Merriweather" w:cs="Merriweather" w:eastAsia="Merriweather" w:hAnsi="Merriweather"/>
            </w:rPr>
          </w:pPr>
          <w:r w:rsidDel="00000000" w:rsidR="00000000" w:rsidRPr="00000000">
            <w:rPr>
              <w:rFonts w:ascii="Merriweather" w:cs="Merriweather" w:eastAsia="Merriweather" w:hAnsi="Merriweather"/>
              <w:color w:val="3d85c6"/>
              <w:sz w:val="28"/>
              <w:szCs w:val="28"/>
              <w:rtl w:val="0"/>
            </w:rPr>
            <w:t xml:space="preserve">Compte rendu entretien préalable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78">
          <w:pPr>
            <w:widowControl w:val="0"/>
            <w:spacing w:line="240" w:lineRule="auto"/>
            <w:jc w:val="right"/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  <w:rtl w:val="0"/>
            </w:rPr>
            <w:t xml:space="preserve">/</w:t>
          </w:r>
          <w:r w:rsidDel="00000000" w:rsidR="00000000" w:rsidRPr="00000000">
            <w:rPr>
              <w:rFonts w:ascii="Century Gothic" w:cs="Century Gothic" w:eastAsia="Century Gothic" w:hAnsi="Century Gothic"/>
              <w:color w:val="3d85c6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9">
    <w:pPr>
      <w:rPr>
        <w:rFonts w:ascii="Merriweather" w:cs="Merriweather" w:eastAsia="Merriweather" w:hAnsi="Merriweather"/>
        <w:color w:val="3d85c6"/>
        <w:sz w:val="4"/>
        <w:szCs w:val="4"/>
        <w:u w:val="singl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CenturyGothic-regular.ttf"/><Relationship Id="rId6" Type="http://schemas.openxmlformats.org/officeDocument/2006/relationships/font" Target="fonts/CenturyGothic-bold.ttf"/><Relationship Id="rId7" Type="http://schemas.openxmlformats.org/officeDocument/2006/relationships/font" Target="fonts/CenturyGothic-italic.ttf"/><Relationship Id="rId8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vK/izY86xfO7/3TpRFx6lJMcsw==">AMUW2mV9gBHccFiFvxMXXZdI7GJmw1v9oUYnwHeKCF4fHInKwAvSPIejBJCrtAV5lD5TRnb3DkdiRvw5sY+cAA5P7DdG7ureLK5kQOft2nP88vU0PEWfG1e3U4PGVytqCKwHnStbmOpMdk+NHUDauLD9bl5pcOrrRQ==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